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505512</w:t>
      </w:r>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Bangalore, India</w:t>
      </w:r>
      <w:r>
        <w:rPr>
          <w:rFonts w:hint="eastAsia" w:ascii="Arial" w:hAnsi="Arial" w:eastAsia="宋体" w:cs="Arial"/>
          <w:b/>
          <w:bCs/>
          <w:kern w:val="0"/>
          <w:sz w:val="24"/>
          <w:szCs w:val="24"/>
          <w:lang w:val="en-US" w:eastAsia="zh-CN"/>
        </w:rPr>
        <w:t>, 25</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2025</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3.2.2</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GB" w:eastAsia="en-US"/>
        </w:rPr>
        <w:t>functionality management for measurement event prediction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RAN2 had the following agreements on functionality management for UE-sided model:</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C2A2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6D45EE3">
            <w:pPr>
              <w:pStyle w:val="25"/>
              <w:ind w:left="363"/>
              <w:rPr>
                <w:rFonts w:hint="default" w:ascii="Arial" w:hAnsi="Arial" w:eastAsia="宋体" w:cs="Arial"/>
                <w:b/>
                <w:bCs/>
                <w:sz w:val="20"/>
                <w:szCs w:val="22"/>
                <w:lang w:val="en-US" w:eastAsia="zh-CN"/>
              </w:rPr>
            </w:pPr>
            <w:r>
              <w:rPr>
                <w:rFonts w:hint="default" w:ascii="Arial" w:hAnsi="Arial" w:cs="Arial"/>
                <w:b/>
                <w:bCs/>
                <w:sz w:val="20"/>
                <w:szCs w:val="22"/>
              </w:rPr>
              <w:t xml:space="preserve">Agreements </w:t>
            </w:r>
            <w:r>
              <w:rPr>
                <w:rFonts w:hint="default" w:ascii="Arial" w:hAnsi="Arial" w:eastAsia="宋体" w:cs="Arial"/>
                <w:b/>
                <w:bCs/>
                <w:sz w:val="20"/>
                <w:szCs w:val="22"/>
                <w:lang w:val="en-US" w:eastAsia="zh-CN"/>
              </w:rPr>
              <w:t>on applicability reporting</w:t>
            </w:r>
          </w:p>
          <w:p w14:paraId="3C48E343">
            <w:pPr>
              <w:pStyle w:val="25"/>
              <w:numPr>
                <w:ilvl w:val="0"/>
                <w:numId w:val="6"/>
              </w:numPr>
              <w:ind w:left="360"/>
              <w:rPr>
                <w:rFonts w:hint="default" w:ascii="Arial" w:hAnsi="Arial" w:cs="Arial"/>
                <w:sz w:val="20"/>
                <w:szCs w:val="22"/>
              </w:rPr>
            </w:pPr>
            <w:r>
              <w:rPr>
                <w:rFonts w:hint="default" w:ascii="Arial" w:hAnsi="Arial" w:cs="Arial"/>
                <w:sz w:val="20"/>
                <w:szCs w:val="22"/>
              </w:rPr>
              <w:t xml:space="preserve">Use the beam management agreements as the baseline, including the following aspects (details can be updated after further progress is made in AI/ML PHY BM use case) </w:t>
            </w:r>
          </w:p>
          <w:p w14:paraId="53434F0A">
            <w:pPr>
              <w:pStyle w:val="25"/>
              <w:ind w:left="723"/>
              <w:rPr>
                <w:rFonts w:hint="default" w:ascii="Arial" w:hAnsi="Arial" w:cs="Arial"/>
                <w:sz w:val="20"/>
                <w:szCs w:val="22"/>
              </w:rPr>
            </w:pPr>
            <w:r>
              <w:rPr>
                <w:rFonts w:hint="default" w:ascii="Arial" w:hAnsi="Arial" w:cs="Arial"/>
                <w:sz w:val="20"/>
                <w:szCs w:val="22"/>
              </w:rPr>
              <w:t>•</w:t>
            </w:r>
            <w:r>
              <w:rPr>
                <w:rFonts w:hint="default" w:ascii="Arial" w:hAnsi="Arial" w:cs="Arial"/>
                <w:sz w:val="20"/>
                <w:szCs w:val="22"/>
              </w:rPr>
              <w:tab/>
            </w:r>
            <w:r>
              <w:rPr>
                <w:rFonts w:hint="default" w:ascii="Arial" w:hAnsi="Arial" w:cs="Arial"/>
                <w:sz w:val="20"/>
                <w:szCs w:val="22"/>
              </w:rPr>
              <w:t>Consider Option A and Option B like scheme (if/when AI/ML PHY makes further progress)</w:t>
            </w:r>
          </w:p>
          <w:p w14:paraId="583C1A55">
            <w:pPr>
              <w:pStyle w:val="25"/>
              <w:ind w:left="723"/>
              <w:rPr>
                <w:rFonts w:hint="default" w:ascii="Arial" w:hAnsi="Arial" w:cs="Arial"/>
                <w:sz w:val="20"/>
                <w:szCs w:val="22"/>
              </w:rPr>
            </w:pPr>
            <w:r>
              <w:rPr>
                <w:rFonts w:hint="default" w:ascii="Arial" w:hAnsi="Arial" w:cs="Arial"/>
                <w:sz w:val="20"/>
                <w:szCs w:val="22"/>
              </w:rPr>
              <w:t>•</w:t>
            </w:r>
            <w:r>
              <w:rPr>
                <w:rFonts w:hint="default" w:ascii="Arial" w:hAnsi="Arial" w:cs="Arial"/>
                <w:sz w:val="20"/>
                <w:szCs w:val="22"/>
              </w:rPr>
              <w:tab/>
            </w:r>
            <w:r>
              <w:rPr>
                <w:rFonts w:hint="default" w:ascii="Arial" w:hAnsi="Arial" w:cs="Arial"/>
                <w:sz w:val="20"/>
                <w:szCs w:val="22"/>
              </w:rPr>
              <w:t>Upon receiving a full inference configuration, the UE sends the initial applicability report in RRCReconfigurationComplete. UAI can be sent to update applicability.</w:t>
            </w:r>
          </w:p>
          <w:p w14:paraId="14CB17B5">
            <w:pPr>
              <w:pStyle w:val="25"/>
              <w:ind w:left="723"/>
              <w:rPr>
                <w:rFonts w:hint="default" w:ascii="Arial" w:hAnsi="Arial" w:cs="Arial"/>
                <w:sz w:val="20"/>
                <w:szCs w:val="22"/>
              </w:rPr>
            </w:pPr>
            <w:r>
              <w:rPr>
                <w:rFonts w:hint="default" w:ascii="Arial" w:hAnsi="Arial" w:cs="Arial"/>
                <w:sz w:val="20"/>
                <w:szCs w:val="22"/>
              </w:rPr>
              <w:t>•</w:t>
            </w:r>
            <w:r>
              <w:rPr>
                <w:rFonts w:hint="default" w:ascii="Arial" w:hAnsi="Arial" w:cs="Arial"/>
                <w:sz w:val="20"/>
                <w:szCs w:val="22"/>
              </w:rPr>
              <w:tab/>
            </w:r>
            <w:r>
              <w:rPr>
                <w:rFonts w:hint="default" w:ascii="Arial" w:hAnsi="Arial" w:cs="Arial"/>
                <w:sz w:val="20"/>
                <w:szCs w:val="22"/>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4E5932A6">
            <w:pPr>
              <w:pStyle w:val="25"/>
              <w:ind w:left="723"/>
              <w:rPr>
                <w:rFonts w:hint="default" w:ascii="Arial" w:hAnsi="Arial" w:cs="Arial"/>
                <w:sz w:val="20"/>
                <w:szCs w:val="22"/>
              </w:rPr>
            </w:pPr>
            <w:r>
              <w:rPr>
                <w:rFonts w:hint="default" w:ascii="Arial" w:hAnsi="Arial" w:cs="Arial"/>
                <w:sz w:val="20"/>
                <w:szCs w:val="22"/>
              </w:rPr>
              <w:t>•</w:t>
            </w:r>
            <w:r>
              <w:rPr>
                <w:rFonts w:hint="default" w:ascii="Arial" w:hAnsi="Arial" w:cs="Arial"/>
                <w:sz w:val="20"/>
                <w:szCs w:val="22"/>
              </w:rPr>
              <w:tab/>
            </w:r>
            <w:r>
              <w:rPr>
                <w:rFonts w:hint="default" w:ascii="Arial" w:hAnsi="Arial" w:cs="Arial"/>
                <w:sz w:val="20"/>
                <w:szCs w:val="22"/>
              </w:rPr>
              <w:t>Support the explicit reporting of applicability/inapplicability in the initial report and subsequent reporting when the applicability changes.</w:t>
            </w:r>
          </w:p>
          <w:p w14:paraId="4EF8F77A">
            <w:pPr>
              <w:pStyle w:val="25"/>
              <w:ind w:left="723"/>
              <w:rPr>
                <w:rFonts w:hint="default" w:ascii="Arial" w:hAnsi="Arial" w:cs="Arial"/>
                <w:sz w:val="20"/>
                <w:szCs w:val="22"/>
              </w:rPr>
            </w:pPr>
            <w:r>
              <w:rPr>
                <w:rFonts w:hint="default" w:ascii="Arial" w:hAnsi="Arial" w:cs="Arial"/>
                <w:sz w:val="20"/>
                <w:szCs w:val="22"/>
              </w:rPr>
              <w:t>•</w:t>
            </w:r>
            <w:r>
              <w:rPr>
                <w:rFonts w:hint="default" w:ascii="Arial" w:hAnsi="Arial" w:cs="Arial"/>
                <w:sz w:val="20"/>
                <w:szCs w:val="22"/>
              </w:rPr>
              <w:tab/>
            </w:r>
            <w:r>
              <w:rPr>
                <w:rFonts w:hint="default" w:ascii="Arial" w:hAnsi="Arial" w:cs="Arial"/>
                <w:sz w:val="20"/>
                <w:szCs w:val="22"/>
              </w:rPr>
              <w:t>Together with inapplicability reporting, UE further indicates a simple cause value of inapplicability (FFS pending AI/ML PHY progress).</w:t>
            </w:r>
          </w:p>
          <w:p w14:paraId="403ACFBF">
            <w:pPr>
              <w:pStyle w:val="25"/>
              <w:ind w:left="723"/>
              <w:rPr>
                <w:rFonts w:hint="default" w:ascii="Arial" w:hAnsi="Arial" w:cs="Arial"/>
                <w:sz w:val="20"/>
                <w:szCs w:val="22"/>
              </w:rPr>
            </w:pPr>
            <w:r>
              <w:rPr>
                <w:rFonts w:hint="default" w:ascii="Arial" w:hAnsi="Arial" w:cs="Arial"/>
                <w:sz w:val="20"/>
                <w:szCs w:val="22"/>
              </w:rPr>
              <w:t>•</w:t>
            </w:r>
            <w:r>
              <w:rPr>
                <w:rFonts w:hint="default" w:ascii="Arial" w:hAnsi="Arial" w:cs="Arial"/>
                <w:sz w:val="20"/>
                <w:szCs w:val="22"/>
              </w:rPr>
              <w:tab/>
            </w:r>
            <w:r>
              <w:rPr>
                <w:rFonts w:hint="default" w:ascii="Arial" w:hAnsi="Arial" w:cs="Arial"/>
                <w:sz w:val="20"/>
                <w:szCs w:val="22"/>
              </w:rPr>
              <w:t>No prohibit timer is introduced.</w:t>
            </w:r>
          </w:p>
          <w:p w14:paraId="457A1211">
            <w:pPr>
              <w:pStyle w:val="25"/>
              <w:ind w:left="363"/>
              <w:rPr>
                <w:rFonts w:hint="default" w:ascii="Arial" w:hAnsi="Arial" w:cs="Arial"/>
                <w:b/>
                <w:bCs/>
                <w:sz w:val="20"/>
                <w:szCs w:val="22"/>
              </w:rPr>
            </w:pPr>
            <w:r>
              <w:rPr>
                <w:rFonts w:hint="default" w:ascii="Arial" w:hAnsi="Arial" w:cs="Arial"/>
                <w:b w:val="0"/>
                <w:bCs/>
                <w:sz w:val="20"/>
                <w:szCs w:val="22"/>
              </w:rPr>
              <w:t xml:space="preserve">Associated ID should be optionally configurable for training and inference (i.e. it may not mandatorily required for all training/inference configurations).  FFS for WI phase further details (what absence means, which use case, whether it is per cell or multiple cells/frequency, terminology). </w:t>
            </w:r>
          </w:p>
          <w:p w14:paraId="0E238E85">
            <w:pPr>
              <w:pStyle w:val="25"/>
              <w:ind w:left="363"/>
              <w:rPr>
                <w:rFonts w:hint="default" w:ascii="Arial" w:hAnsi="Arial" w:eastAsia="宋体" w:cs="Arial"/>
                <w:b/>
                <w:bCs/>
                <w:sz w:val="20"/>
                <w:szCs w:val="20"/>
                <w:lang w:val="en-US" w:eastAsia="zh-CN"/>
              </w:rPr>
            </w:pPr>
            <w:r>
              <w:rPr>
                <w:rFonts w:hint="default" w:ascii="Arial" w:hAnsi="Arial" w:cs="Arial"/>
                <w:b/>
                <w:bCs/>
                <w:sz w:val="20"/>
                <w:szCs w:val="20"/>
              </w:rPr>
              <w:t>Agreements</w:t>
            </w:r>
            <w:r>
              <w:rPr>
                <w:rFonts w:hint="eastAsia" w:ascii="Arial" w:hAnsi="Arial" w:eastAsia="宋体" w:cs="Arial"/>
                <w:b/>
                <w:bCs/>
                <w:sz w:val="20"/>
                <w:szCs w:val="20"/>
                <w:lang w:val="en-US" w:eastAsia="zh-CN"/>
              </w:rPr>
              <w:t xml:space="preserve"> on inference</w:t>
            </w:r>
          </w:p>
          <w:p w14:paraId="051F3ADE">
            <w:pPr>
              <w:pStyle w:val="25"/>
              <w:numPr>
                <w:ilvl w:val="0"/>
                <w:numId w:val="7"/>
              </w:numPr>
              <w:rPr>
                <w:rFonts w:hint="default" w:ascii="Arial" w:hAnsi="Arial" w:cs="Arial"/>
                <w:sz w:val="20"/>
                <w:szCs w:val="20"/>
              </w:rPr>
            </w:pPr>
            <w:r>
              <w:rPr>
                <w:rFonts w:hint="default" w:ascii="Arial" w:hAnsi="Arial" w:cs="Arial"/>
                <w:sz w:val="20"/>
                <w:szCs w:val="20"/>
              </w:rPr>
              <w:t>The following potential “inference parameters” can be considered for inference/measurement configuration, which provides the necessary information for UE to examine the applicability, it may contain</w:t>
            </w:r>
          </w:p>
          <w:p w14:paraId="1A22131E">
            <w:pPr>
              <w:pStyle w:val="25"/>
              <w:ind w:left="723"/>
              <w:rPr>
                <w:rFonts w:hint="default" w:ascii="Arial" w:hAnsi="Arial" w:cs="Arial"/>
                <w:sz w:val="20"/>
                <w:szCs w:val="20"/>
              </w:rPr>
            </w:pPr>
            <w:r>
              <w:rPr>
                <w:rFonts w:hint="default" w:ascii="Arial" w:hAnsi="Arial" w:cs="Arial"/>
                <w:sz w:val="20"/>
                <w:szCs w:val="20"/>
              </w:rPr>
              <w:t>• PW length (for temporal case A)</w:t>
            </w:r>
          </w:p>
          <w:p w14:paraId="28442FC8">
            <w:pPr>
              <w:pStyle w:val="25"/>
              <w:ind w:left="723"/>
              <w:rPr>
                <w:rFonts w:hint="default" w:ascii="Arial" w:hAnsi="Arial" w:cs="Arial"/>
                <w:sz w:val="20"/>
                <w:szCs w:val="20"/>
              </w:rPr>
            </w:pPr>
            <w:r>
              <w:rPr>
                <w:rFonts w:hint="default" w:ascii="Arial" w:hAnsi="Arial" w:cs="Arial"/>
                <w:sz w:val="20"/>
                <w:szCs w:val="20"/>
              </w:rPr>
              <w:t>• Skipping pattern (e.g. SSB config that indicates SSBs transmitted) (optional).  MRRT (for temporal case B ) not discussed in study item, but if RAN4 says otherwise can be considered in WI</w:t>
            </w:r>
          </w:p>
          <w:p w14:paraId="5AE9C2E1">
            <w:pPr>
              <w:pStyle w:val="25"/>
              <w:ind w:left="723"/>
              <w:rPr>
                <w:rFonts w:hint="default" w:ascii="Arial" w:hAnsi="Arial" w:cs="Arial"/>
                <w:sz w:val="20"/>
                <w:szCs w:val="20"/>
              </w:rPr>
            </w:pPr>
            <w:r>
              <w:rPr>
                <w:rFonts w:hint="default" w:ascii="Arial" w:hAnsi="Arial" w:cs="Arial"/>
                <w:sz w:val="20"/>
                <w:szCs w:val="20"/>
              </w:rPr>
              <w:t>• Measured and predicted beam pattern (optional).   MRRS (for spatial domain prediction) not discussed in study item, but if RAN4 says otherwise can be considered in WI</w:t>
            </w:r>
          </w:p>
          <w:p w14:paraId="3CD19E22">
            <w:pPr>
              <w:pStyle w:val="25"/>
              <w:ind w:left="723"/>
              <w:rPr>
                <w:rFonts w:hint="default" w:ascii="Arial" w:hAnsi="Arial" w:cs="Arial"/>
                <w:sz w:val="20"/>
                <w:szCs w:val="20"/>
              </w:rPr>
            </w:pPr>
            <w:r>
              <w:rPr>
                <w:rFonts w:hint="default" w:ascii="Arial" w:hAnsi="Arial" w:cs="Arial"/>
                <w:sz w:val="20"/>
                <w:szCs w:val="20"/>
              </w:rPr>
              <w:t>• Measured and predicted frequency (For inter-freq domain prediction)</w:t>
            </w:r>
          </w:p>
          <w:p w14:paraId="0D544904">
            <w:pPr>
              <w:pStyle w:val="25"/>
              <w:numPr>
                <w:ilvl w:val="0"/>
                <w:numId w:val="7"/>
              </w:numPr>
              <w:rPr>
                <w:rFonts w:hint="default" w:ascii="Arial" w:hAnsi="Arial" w:cs="Arial"/>
                <w:b/>
                <w:bCs/>
                <w:sz w:val="20"/>
                <w:szCs w:val="20"/>
              </w:rPr>
            </w:pPr>
            <w:r>
              <w:rPr>
                <w:rFonts w:hint="default" w:ascii="Arial" w:hAnsi="Arial" w:cs="Arial"/>
                <w:sz w:val="20"/>
                <w:szCs w:val="20"/>
              </w:rPr>
              <w:t xml:space="preserve">Model related choices (i.e., cluster-based vs. cell-based, L1 filtering, RRM sub-use cases, OW length, </w:t>
            </w:r>
            <w:r>
              <w:rPr>
                <w:rFonts w:hint="default" w:ascii="Arial" w:hAnsi="Arial" w:cs="Arial"/>
                <w:sz w:val="20"/>
                <w:szCs w:val="20"/>
                <w:highlight w:val="none"/>
                <w:shd w:val="clear"/>
              </w:rPr>
              <w:t>direct vs. indirect</w:t>
            </w:r>
            <w:r>
              <w:rPr>
                <w:rFonts w:hint="default" w:ascii="Arial" w:hAnsi="Arial" w:cs="Arial"/>
                <w:sz w:val="20"/>
                <w:szCs w:val="20"/>
                <w:shd w:val="clear"/>
              </w:rPr>
              <w:t>)</w:t>
            </w:r>
            <w:r>
              <w:rPr>
                <w:rFonts w:hint="default" w:ascii="Arial" w:hAnsi="Arial" w:cs="Arial"/>
                <w:sz w:val="20"/>
                <w:szCs w:val="20"/>
              </w:rPr>
              <w:t xml:space="preserve"> can be up to UE implementation unless a requirement is identified to specify them.</w:t>
            </w:r>
          </w:p>
          <w:p w14:paraId="47E167EB">
            <w:pPr>
              <w:pStyle w:val="25"/>
              <w:ind w:left="363"/>
              <w:rPr>
                <w:rFonts w:hint="default" w:ascii="Arial" w:hAnsi="Arial" w:eastAsia="宋体" w:cs="Arial"/>
                <w:b/>
                <w:bCs/>
                <w:sz w:val="20"/>
                <w:szCs w:val="22"/>
                <w:lang w:val="en-US" w:eastAsia="zh-CN"/>
              </w:rPr>
            </w:pPr>
            <w:r>
              <w:rPr>
                <w:rFonts w:hint="default" w:ascii="Arial" w:hAnsi="Arial" w:cs="Arial"/>
                <w:b/>
                <w:bCs/>
                <w:sz w:val="20"/>
                <w:szCs w:val="22"/>
              </w:rPr>
              <w:t xml:space="preserve">Agreements </w:t>
            </w:r>
            <w:r>
              <w:rPr>
                <w:rFonts w:hint="eastAsia" w:ascii="Arial" w:hAnsi="Arial" w:eastAsia="宋体" w:cs="Arial"/>
                <w:b/>
                <w:bCs/>
                <w:sz w:val="20"/>
                <w:szCs w:val="22"/>
                <w:lang w:val="en-US" w:eastAsia="zh-CN"/>
              </w:rPr>
              <w:t>on performance monitoring</w:t>
            </w:r>
          </w:p>
          <w:p w14:paraId="01FB879F">
            <w:pPr>
              <w:pStyle w:val="25"/>
              <w:ind w:left="363"/>
              <w:rPr>
                <w:rFonts w:hint="default" w:ascii="Arial" w:hAnsi="Arial" w:cs="Arial"/>
                <w:sz w:val="20"/>
                <w:szCs w:val="22"/>
              </w:rPr>
            </w:pPr>
            <w:r>
              <w:rPr>
                <w:rFonts w:hint="default" w:ascii="Arial" w:hAnsi="Arial" w:cs="Arial"/>
                <w:sz w:val="20"/>
                <w:szCs w:val="22"/>
              </w:rPr>
              <w:t>1</w:t>
            </w:r>
            <w:r>
              <w:rPr>
                <w:rFonts w:hint="default" w:ascii="Arial" w:hAnsi="Arial" w:cs="Arial"/>
                <w:sz w:val="20"/>
                <w:szCs w:val="22"/>
              </w:rPr>
              <w:tab/>
            </w:r>
            <w:r>
              <w:rPr>
                <w:rFonts w:hint="default" w:ascii="Arial" w:hAnsi="Arial" w:cs="Arial"/>
                <w:sz w:val="20"/>
                <w:szCs w:val="22"/>
              </w:rPr>
              <w:t xml:space="preserve"> For UE-sided model, NW-sided monitoring, the performance monitor procedure contains</w:t>
            </w:r>
          </w:p>
          <w:p w14:paraId="3A2F8355">
            <w:pPr>
              <w:pStyle w:val="25"/>
              <w:numPr>
                <w:ilvl w:val="0"/>
                <w:numId w:val="8"/>
              </w:numPr>
              <w:tabs>
                <w:tab w:val="clear" w:pos="840"/>
              </w:tabs>
              <w:ind w:left="1563" w:leftChars="0"/>
              <w:rPr>
                <w:rFonts w:hint="default" w:ascii="Arial" w:hAnsi="Arial" w:cs="Arial"/>
                <w:sz w:val="20"/>
                <w:szCs w:val="22"/>
              </w:rPr>
            </w:pPr>
            <w:r>
              <w:rPr>
                <w:rFonts w:hint="default" w:ascii="Arial" w:hAnsi="Arial" w:cs="Arial"/>
                <w:sz w:val="20"/>
                <w:szCs w:val="22"/>
              </w:rPr>
              <w:t xml:space="preserve">NW sends monitoring configuration and inference configuration to UE. </w:t>
            </w:r>
          </w:p>
          <w:p w14:paraId="51CD39D8">
            <w:pPr>
              <w:pStyle w:val="25"/>
              <w:numPr>
                <w:ilvl w:val="0"/>
                <w:numId w:val="8"/>
              </w:numPr>
              <w:tabs>
                <w:tab w:val="clear" w:pos="840"/>
              </w:tabs>
              <w:ind w:left="1563" w:leftChars="0"/>
              <w:rPr>
                <w:rFonts w:hint="default" w:ascii="Arial" w:hAnsi="Arial" w:cs="Arial"/>
                <w:sz w:val="20"/>
                <w:szCs w:val="22"/>
              </w:rPr>
            </w:pPr>
            <w:r>
              <w:rPr>
                <w:rFonts w:hint="default" w:ascii="Arial" w:hAnsi="Arial" w:cs="Arial"/>
                <w:sz w:val="20"/>
                <w:szCs w:val="22"/>
              </w:rPr>
              <w:t>UE reports measurements and inference output based on the corresponding configurations to NW.</w:t>
            </w:r>
          </w:p>
          <w:p w14:paraId="69AFE5B7">
            <w:pPr>
              <w:pStyle w:val="25"/>
              <w:numPr>
                <w:ilvl w:val="0"/>
                <w:numId w:val="8"/>
              </w:numPr>
              <w:tabs>
                <w:tab w:val="clear" w:pos="840"/>
              </w:tabs>
              <w:ind w:left="1563" w:leftChars="0"/>
              <w:rPr>
                <w:rFonts w:hint="default" w:ascii="Arial" w:hAnsi="Arial" w:cs="Arial"/>
                <w:sz w:val="20"/>
                <w:szCs w:val="22"/>
              </w:rPr>
            </w:pPr>
            <w:r>
              <w:rPr>
                <w:rFonts w:hint="default" w:ascii="Arial" w:hAnsi="Arial" w:cs="Arial"/>
                <w:sz w:val="20"/>
                <w:szCs w:val="22"/>
              </w:rPr>
              <w:t>NW performs monitoring and makes decisions, which can be fully NW-implemented.</w:t>
            </w:r>
          </w:p>
          <w:p w14:paraId="045FB867">
            <w:pPr>
              <w:pStyle w:val="25"/>
              <w:ind w:left="363"/>
              <w:rPr>
                <w:rFonts w:hint="default" w:ascii="Arial" w:hAnsi="Arial" w:cs="Arial"/>
                <w:sz w:val="20"/>
                <w:szCs w:val="22"/>
              </w:rPr>
            </w:pPr>
            <w:r>
              <w:rPr>
                <w:rFonts w:hint="default" w:ascii="Arial" w:hAnsi="Arial" w:cs="Arial"/>
                <w:sz w:val="20"/>
                <w:szCs w:val="22"/>
              </w:rPr>
              <w:t>2</w:t>
            </w:r>
            <w:r>
              <w:rPr>
                <w:rFonts w:hint="default" w:ascii="Arial" w:hAnsi="Arial" w:cs="Arial"/>
                <w:sz w:val="20"/>
                <w:szCs w:val="22"/>
              </w:rPr>
              <w:tab/>
            </w:r>
            <w:r>
              <w:rPr>
                <w:rFonts w:hint="default" w:ascii="Arial" w:hAnsi="Arial" w:cs="Arial"/>
                <w:sz w:val="20"/>
                <w:szCs w:val="22"/>
              </w:rPr>
              <w:t xml:space="preserve"> For UE-sided model, UE-sided monitoring, the performance monitor procedure as baselined contains </w:t>
            </w:r>
          </w:p>
          <w:p w14:paraId="0ECFB11A">
            <w:pPr>
              <w:pStyle w:val="25"/>
              <w:numPr>
                <w:ilvl w:val="0"/>
                <w:numId w:val="9"/>
              </w:numPr>
              <w:tabs>
                <w:tab w:val="clear" w:pos="840"/>
              </w:tabs>
              <w:ind w:left="1560" w:leftChars="0"/>
              <w:rPr>
                <w:rFonts w:hint="default" w:ascii="Arial" w:hAnsi="Arial" w:cs="Arial"/>
                <w:sz w:val="20"/>
                <w:szCs w:val="22"/>
              </w:rPr>
            </w:pPr>
            <w:r>
              <w:rPr>
                <w:rFonts w:hint="default" w:ascii="Arial" w:hAnsi="Arial" w:cs="Arial"/>
                <w:sz w:val="20"/>
                <w:szCs w:val="22"/>
              </w:rPr>
              <w:t xml:space="preserve">NW sends monitoring configuration to UE </w:t>
            </w:r>
          </w:p>
          <w:p w14:paraId="1DAF1A0B">
            <w:pPr>
              <w:pStyle w:val="25"/>
              <w:numPr>
                <w:ilvl w:val="0"/>
                <w:numId w:val="9"/>
              </w:numPr>
              <w:tabs>
                <w:tab w:val="clear" w:pos="840"/>
              </w:tabs>
              <w:ind w:left="1560" w:leftChars="0"/>
              <w:rPr>
                <w:rFonts w:hint="default" w:ascii="Arial" w:hAnsi="Arial" w:cs="Arial"/>
                <w:sz w:val="20"/>
                <w:szCs w:val="22"/>
              </w:rPr>
            </w:pPr>
            <w:r>
              <w:rPr>
                <w:rFonts w:hint="default" w:ascii="Arial" w:hAnsi="Arial" w:cs="Arial"/>
                <w:sz w:val="20"/>
                <w:szCs w:val="22"/>
              </w:rPr>
              <w:t xml:space="preserve">UE measures monitoring data and generates monitoring results by comparing inference output and monitoring data. </w:t>
            </w:r>
          </w:p>
          <w:p w14:paraId="357452C0">
            <w:pPr>
              <w:pStyle w:val="25"/>
              <w:numPr>
                <w:ilvl w:val="0"/>
                <w:numId w:val="9"/>
              </w:numPr>
              <w:tabs>
                <w:tab w:val="clear" w:pos="840"/>
              </w:tabs>
              <w:ind w:left="1560" w:leftChars="0"/>
              <w:rPr>
                <w:rFonts w:hint="default" w:ascii="Arial" w:hAnsi="Arial" w:cs="Arial"/>
                <w:sz w:val="20"/>
                <w:szCs w:val="22"/>
              </w:rPr>
            </w:pPr>
            <w:r>
              <w:rPr>
                <w:rFonts w:hint="default" w:ascii="Arial" w:hAnsi="Arial" w:cs="Arial"/>
                <w:sz w:val="20"/>
                <w:szCs w:val="22"/>
              </w:rPr>
              <w:t xml:space="preserve">(NW-decision): UE reports the monitoring result to NW, and NW makes the management decision. </w:t>
            </w:r>
          </w:p>
          <w:p w14:paraId="2B0A0CEA">
            <w:pPr>
              <w:pStyle w:val="25"/>
              <w:ind w:left="363"/>
              <w:rPr>
                <w:rFonts w:hint="default" w:ascii="Arial" w:hAnsi="Arial" w:cs="Arial"/>
                <w:sz w:val="20"/>
                <w:szCs w:val="22"/>
              </w:rPr>
            </w:pPr>
            <w:r>
              <w:rPr>
                <w:rFonts w:hint="eastAsia" w:ascii="Arial" w:hAnsi="Arial" w:eastAsia="宋体" w:cs="Arial"/>
                <w:sz w:val="20"/>
                <w:szCs w:val="22"/>
                <w:lang w:val="en-US" w:eastAsia="zh-CN"/>
              </w:rPr>
              <w:t>3</w:t>
            </w:r>
            <w:r>
              <w:rPr>
                <w:rFonts w:hint="default" w:ascii="Arial" w:hAnsi="Arial" w:cs="Arial"/>
                <w:sz w:val="20"/>
                <w:szCs w:val="22"/>
              </w:rPr>
              <w:tab/>
            </w:r>
            <w:r>
              <w:rPr>
                <w:rFonts w:hint="default" w:ascii="Arial" w:hAnsi="Arial" w:cs="Arial"/>
                <w:sz w:val="20"/>
                <w:szCs w:val="22"/>
              </w:rPr>
              <w:t xml:space="preserve"> Can further consider UE sided monitoring and (UE-decision) for some use cases: UE makes the management decision based on network configuration and sends the decision to NW.  FFS which use cases. </w:t>
            </w:r>
          </w:p>
          <w:p w14:paraId="799E219E">
            <w:pPr>
              <w:pStyle w:val="25"/>
              <w:numPr>
                <w:ilvl w:val="0"/>
                <w:numId w:val="0"/>
              </w:numPr>
              <w:ind w:leftChars="0"/>
              <w:rPr>
                <w:rFonts w:hint="default" w:ascii="Arial" w:hAnsi="Arial" w:cs="Arial"/>
                <w:sz w:val="20"/>
                <w:szCs w:val="22"/>
              </w:rPr>
            </w:pPr>
            <w:r>
              <w:rPr>
                <w:rFonts w:hint="eastAsia" w:ascii="Arial" w:hAnsi="Arial" w:eastAsia="宋体" w:cs="Arial"/>
                <w:sz w:val="20"/>
                <w:szCs w:val="22"/>
                <w:lang w:val="en-US" w:eastAsia="zh-CN"/>
              </w:rPr>
              <w:t xml:space="preserve">4   </w:t>
            </w:r>
            <w:r>
              <w:rPr>
                <w:rFonts w:hint="default" w:ascii="Arial" w:hAnsi="Arial" w:cs="Arial"/>
                <w:sz w:val="20"/>
                <w:szCs w:val="22"/>
              </w:rPr>
              <w:t xml:space="preserve">For RRM measurement prediction </w:t>
            </w:r>
          </w:p>
          <w:p w14:paraId="228A2F04">
            <w:pPr>
              <w:pStyle w:val="25"/>
              <w:numPr>
                <w:ilvl w:val="1"/>
                <w:numId w:val="10"/>
              </w:numPr>
              <w:ind w:left="1080"/>
              <w:rPr>
                <w:rFonts w:hint="eastAsia" w:ascii="Arial" w:hAnsi="Arial" w:eastAsia="宋体" w:cs="Arial"/>
                <w:kern w:val="0"/>
                <w:sz w:val="21"/>
                <w:szCs w:val="21"/>
                <w:vertAlign w:val="baseline"/>
                <w:lang w:val="en-US" w:eastAsia="zh-CN"/>
              </w:rPr>
            </w:pPr>
            <w:r>
              <w:rPr>
                <w:rFonts w:hint="default" w:ascii="Arial" w:hAnsi="Arial" w:cs="Arial"/>
                <w:sz w:val="20"/>
                <w:szCs w:val="22"/>
              </w:rPr>
              <w:t>RSRP differences can be used as the performance metric for monitoring.</w:t>
            </w:r>
          </w:p>
        </w:tc>
      </w:tr>
    </w:tbl>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the applicability reporting procedure, inference configuration/reporting and performance monitoring for UE sided model for RRM measurement event predictions.</w:t>
      </w:r>
    </w:p>
    <w:p w14:paraId="4B85BB60">
      <w:pPr>
        <w:keepNext/>
        <w:keepLines/>
        <w:widowControl/>
        <w:numPr>
          <w:ilvl w:val="0"/>
          <w:numId w:val="11"/>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57A7559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2.1 Applicability reporting</w:t>
      </w:r>
    </w:p>
    <w:p w14:paraId="343A5F3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During the discussion on beam management in AI/ML PHY, RAN2 has the following agreements on applicability reporting in last meeting: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D11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F59A045">
            <w:pPr>
              <w:pStyle w:val="25"/>
              <w:ind w:left="363"/>
              <w:rPr>
                <w:rFonts w:hint="default" w:ascii="Arial" w:hAnsi="Arial" w:cs="Arial"/>
                <w:b/>
                <w:bCs/>
                <w:sz w:val="21"/>
                <w:szCs w:val="24"/>
              </w:rPr>
            </w:pPr>
            <w:r>
              <w:rPr>
                <w:rFonts w:hint="default" w:ascii="Arial" w:hAnsi="Arial" w:cs="Arial"/>
                <w:b/>
                <w:bCs/>
                <w:sz w:val="21"/>
                <w:szCs w:val="24"/>
              </w:rPr>
              <w:t xml:space="preserve">Agreements </w:t>
            </w:r>
          </w:p>
          <w:p w14:paraId="1C6630B0">
            <w:pPr>
              <w:pStyle w:val="25"/>
              <w:numPr>
                <w:ilvl w:val="0"/>
                <w:numId w:val="12"/>
              </w:numPr>
              <w:ind w:left="360"/>
              <w:rPr>
                <w:rFonts w:hint="default" w:ascii="Arial" w:hAnsi="Arial" w:cs="Arial"/>
                <w:sz w:val="21"/>
                <w:szCs w:val="24"/>
              </w:rPr>
            </w:pPr>
            <w:r>
              <w:rPr>
                <w:rFonts w:hint="default" w:ascii="Arial" w:hAnsi="Arial" w:cs="Arial"/>
                <w:sz w:val="21"/>
                <w:szCs w:val="24"/>
              </w:rPr>
              <w:t xml:space="preserve">Introduce “release configuration” flag instead of inapplicability cause to indicate UEs preference to release a configuration (e.g. due to model in availability in the local device FFS reason to be specified) </w:t>
            </w:r>
          </w:p>
          <w:p w14:paraId="3590B4CC">
            <w:pPr>
              <w:pStyle w:val="25"/>
              <w:numPr>
                <w:ilvl w:val="0"/>
                <w:numId w:val="12"/>
              </w:numPr>
              <w:ind w:left="360"/>
              <w:rPr>
                <w:rFonts w:hint="eastAsia" w:ascii="Arial" w:hAnsi="Arial" w:eastAsia="等线" w:cs="Arial"/>
                <w:vertAlign w:val="baseline"/>
                <w:lang w:val="en-US" w:eastAsia="zh-CN"/>
              </w:rPr>
            </w:pPr>
            <w:r>
              <w:rPr>
                <w:rFonts w:hint="default" w:ascii="Arial" w:hAnsi="Arial" w:cs="Arial"/>
                <w:sz w:val="21"/>
                <w:szCs w:val="24"/>
              </w:rPr>
              <w:t xml:space="preserve">Introduce a flag in OtherConfig indicating whether applicability reporting via UAI is enabled or disabled.  Assume this applies to Option A and B, FFS if anything different needs to be done for option B (if specified) </w:t>
            </w:r>
          </w:p>
        </w:tc>
      </w:tr>
    </w:tbl>
    <w:p w14:paraId="634539B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The above agreements can be reused to AI Mob.</w:t>
      </w:r>
    </w:p>
    <w:p w14:paraId="59F1C00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sz w:val="21"/>
          <w:szCs w:val="21"/>
          <w:lang w:val="en-US" w:eastAsia="zh-CN"/>
        </w:rPr>
      </w:pPr>
      <w:r>
        <w:rPr>
          <w:rFonts w:hint="eastAsia" w:ascii="Arial" w:hAnsi="Arial" w:eastAsia="等线" w:cs="Arial"/>
          <w:b/>
          <w:bCs/>
          <w:sz w:val="21"/>
          <w:szCs w:val="21"/>
          <w:lang w:val="en-US" w:eastAsia="zh-CN"/>
        </w:rPr>
        <w:t>Proposal 1: Reuse the following agreements on beam management in AI/ML PHY to AI Mob:</w:t>
      </w:r>
    </w:p>
    <w:p w14:paraId="37BDBA92">
      <w:pPr>
        <w:pStyle w:val="25"/>
        <w:numPr>
          <w:ilvl w:val="0"/>
          <w:numId w:val="0"/>
        </w:numPr>
        <w:ind w:leftChars="100"/>
        <w:jc w:val="both"/>
        <w:rPr>
          <w:rFonts w:hint="default" w:ascii="Arial" w:hAnsi="Arial" w:cs="Arial"/>
          <w:b/>
          <w:bCs/>
          <w:sz w:val="21"/>
          <w:szCs w:val="21"/>
        </w:rPr>
      </w:pPr>
      <w:r>
        <w:rPr>
          <w:rFonts w:hint="eastAsia" w:ascii="Arial" w:hAnsi="Arial" w:eastAsia="宋体" w:cs="Arial"/>
          <w:b/>
          <w:bCs/>
          <w:sz w:val="21"/>
          <w:szCs w:val="21"/>
          <w:lang w:val="en-US" w:eastAsia="zh-CN"/>
        </w:rPr>
        <w:t xml:space="preserve">- </w:t>
      </w:r>
      <w:r>
        <w:rPr>
          <w:rFonts w:hint="default" w:ascii="Arial" w:hAnsi="Arial" w:cs="Arial"/>
          <w:b/>
          <w:bCs/>
          <w:sz w:val="21"/>
          <w:szCs w:val="21"/>
        </w:rPr>
        <w:t xml:space="preserve">Introduce “release configuration” flag instead of inapplicability cause to indicate UEs preference to release a configuration </w:t>
      </w:r>
    </w:p>
    <w:p w14:paraId="39D3ACE1">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b/>
          <w:bCs/>
          <w:sz w:val="21"/>
          <w:szCs w:val="21"/>
          <w:lang w:val="en-US" w:eastAsia="zh-CN"/>
        </w:rPr>
      </w:pPr>
      <w:r>
        <w:rPr>
          <w:rFonts w:hint="eastAsia" w:ascii="Arial" w:hAnsi="Arial" w:cs="Arial"/>
          <w:b/>
          <w:bCs/>
          <w:sz w:val="21"/>
          <w:szCs w:val="21"/>
          <w:lang w:val="en-US" w:eastAsia="zh-CN"/>
        </w:rPr>
        <w:t xml:space="preserve">- </w:t>
      </w:r>
      <w:r>
        <w:rPr>
          <w:rFonts w:hint="default" w:ascii="Arial" w:hAnsi="Arial" w:cs="Arial"/>
          <w:b/>
          <w:bCs/>
          <w:sz w:val="21"/>
          <w:szCs w:val="21"/>
        </w:rPr>
        <w:t xml:space="preserve">Introduce a flag in </w:t>
      </w:r>
      <w:r>
        <w:rPr>
          <w:rFonts w:hint="default" w:ascii="Arial" w:hAnsi="Arial" w:cs="Arial"/>
          <w:b/>
          <w:bCs/>
          <w:i/>
          <w:iCs/>
          <w:sz w:val="21"/>
          <w:szCs w:val="21"/>
        </w:rPr>
        <w:t xml:space="preserve">OtherConfig </w:t>
      </w:r>
      <w:r>
        <w:rPr>
          <w:rFonts w:hint="default" w:ascii="Arial" w:hAnsi="Arial" w:cs="Arial"/>
          <w:b/>
          <w:bCs/>
          <w:sz w:val="21"/>
          <w:szCs w:val="21"/>
        </w:rPr>
        <w:t xml:space="preserve">indicating whether applicability reporting via UAI is enabled or disabled. Assume this applies to Option A and B </w:t>
      </w:r>
    </w:p>
    <w:p w14:paraId="121F3AE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4B0291A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2.2 Inference</w:t>
      </w:r>
    </w:p>
    <w:p w14:paraId="20461DF8">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For indirect measurement event prediction, the model input and output are same as RRM measurement prediction. Therefore, the potential </w:t>
      </w:r>
      <w:r>
        <w:rPr>
          <w:rFonts w:hint="default" w:ascii="Arial" w:hAnsi="Arial" w:eastAsia="宋体" w:cs="Arial"/>
          <w:sz w:val="21"/>
          <w:szCs w:val="22"/>
          <w:lang w:val="en-US" w:eastAsia="zh-CN"/>
        </w:rPr>
        <w:t>“</w:t>
      </w:r>
      <w:r>
        <w:rPr>
          <w:rFonts w:hint="eastAsia" w:ascii="Arial" w:hAnsi="Arial" w:eastAsia="宋体" w:cs="Arial"/>
          <w:sz w:val="21"/>
          <w:szCs w:val="22"/>
          <w:lang w:val="en-US" w:eastAsia="zh-CN"/>
        </w:rPr>
        <w:t>inference parameters</w:t>
      </w:r>
      <w:r>
        <w:rPr>
          <w:rFonts w:hint="default" w:ascii="Arial" w:hAnsi="Arial" w:eastAsia="宋体" w:cs="Arial"/>
          <w:sz w:val="21"/>
          <w:szCs w:val="22"/>
          <w:lang w:val="en-US" w:eastAsia="zh-CN"/>
        </w:rPr>
        <w:t>”</w:t>
      </w:r>
      <w:r>
        <w:rPr>
          <w:rFonts w:hint="eastAsia" w:ascii="Arial" w:hAnsi="Arial" w:eastAsia="宋体" w:cs="Arial"/>
          <w:sz w:val="21"/>
          <w:szCs w:val="22"/>
          <w:lang w:val="en-US" w:eastAsia="zh-CN"/>
        </w:rPr>
        <w:t xml:space="preserve"> considered for RRM measurement prediction are also applied for indirect measurement event prediction.</w:t>
      </w:r>
    </w:p>
    <w:p w14:paraId="07E22742">
      <w:pPr>
        <w:spacing w:before="120" w:beforeLines="50" w:after="120" w:line="240" w:lineRule="auto"/>
        <w:jc w:val="center"/>
      </w:pPr>
      <w:r>
        <w:drawing>
          <wp:inline distT="0" distB="0" distL="114300" distR="114300">
            <wp:extent cx="5993765" cy="1278255"/>
            <wp:effectExtent l="0" t="0" r="698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5993765" cy="1278255"/>
                    </a:xfrm>
                    <a:prstGeom prst="rect">
                      <a:avLst/>
                    </a:prstGeom>
                    <a:noFill/>
                    <a:ln>
                      <a:noFill/>
                    </a:ln>
                  </pic:spPr>
                </pic:pic>
              </a:graphicData>
            </a:graphic>
          </wp:inline>
        </w:drawing>
      </w:r>
    </w:p>
    <w:p w14:paraId="7B2075C0">
      <w:pPr>
        <w:spacing w:before="120" w:beforeLines="50" w:after="120" w:line="240" w:lineRule="auto"/>
        <w:jc w:val="center"/>
        <w:rPr>
          <w:rFonts w:hint="default" w:eastAsiaTheme="minorEastAsia"/>
          <w:lang w:val="en-US" w:eastAsia="zh-CN"/>
        </w:rPr>
      </w:pPr>
      <w:r>
        <w:rPr>
          <w:rFonts w:hint="default" w:ascii="Arial" w:hAnsi="Arial" w:cs="Arial"/>
          <w:lang w:val="en-US" w:eastAsia="zh-CN"/>
        </w:rPr>
        <w:t>Figure 1.</w:t>
      </w:r>
      <w:r>
        <w:rPr>
          <w:rFonts w:hint="eastAsia" w:ascii="Arial" w:hAnsi="Arial" w:cs="Arial"/>
          <w:lang w:val="en-US" w:eastAsia="zh-CN"/>
        </w:rPr>
        <w:t xml:space="preserve"> Example of indirect measurement event prediction</w:t>
      </w:r>
    </w:p>
    <w:p w14:paraId="63445AA6">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2: The potential </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inference parameters</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 xml:space="preserve"> considered for RRM measurement prediction are also applied for indirect measurement event prediction.</w:t>
      </w:r>
    </w:p>
    <w:p w14:paraId="51E3061C">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b w:val="0"/>
          <w:bCs w:val="0"/>
          <w:sz w:val="21"/>
          <w:szCs w:val="22"/>
          <w:lang w:val="en-US" w:eastAsia="zh-CN"/>
        </w:rPr>
        <w:t xml:space="preserve">For </w:t>
      </w:r>
      <w:r>
        <w:rPr>
          <w:rFonts w:hint="eastAsia" w:ascii="Arial" w:hAnsi="Arial" w:eastAsia="宋体" w:cs="Arial"/>
          <w:sz w:val="21"/>
          <w:szCs w:val="22"/>
          <w:lang w:val="en-US" w:eastAsia="zh-CN"/>
        </w:rPr>
        <w:t>direct measurement event prediction, we believe that the measurement event configuration (e.g. threshold, TTT) can be considered as inference parameter since the output of the model is the occurrence probability of the measurement event. In addition, the measurement results can be also considered as inference parameter.</w:t>
      </w:r>
    </w:p>
    <w:p w14:paraId="1EB2C3E3">
      <w:pPr>
        <w:spacing w:before="120" w:beforeLines="50" w:after="120" w:line="240" w:lineRule="auto"/>
        <w:jc w:val="center"/>
      </w:pPr>
      <w:r>
        <w:drawing>
          <wp:inline distT="0" distB="0" distL="114300" distR="114300">
            <wp:extent cx="5171440" cy="923925"/>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5171440" cy="923925"/>
                    </a:xfrm>
                    <a:prstGeom prst="rect">
                      <a:avLst/>
                    </a:prstGeom>
                    <a:noFill/>
                    <a:ln>
                      <a:noFill/>
                    </a:ln>
                  </pic:spPr>
                </pic:pic>
              </a:graphicData>
            </a:graphic>
          </wp:inline>
        </w:drawing>
      </w:r>
    </w:p>
    <w:p w14:paraId="401F5E9F">
      <w:pPr>
        <w:spacing w:before="120" w:beforeLines="50" w:after="120" w:line="240" w:lineRule="auto"/>
        <w:jc w:val="center"/>
        <w:rPr>
          <w:rFonts w:hint="default"/>
          <w:lang w:val="en-US" w:eastAsia="zh-CN"/>
        </w:rPr>
      </w:pPr>
      <w:r>
        <w:rPr>
          <w:rFonts w:hint="default" w:ascii="Arial" w:hAnsi="Arial" w:cs="Arial"/>
          <w:lang w:val="en-US" w:eastAsia="zh-CN"/>
        </w:rPr>
        <w:t xml:space="preserve">Figure </w:t>
      </w:r>
      <w:r>
        <w:rPr>
          <w:rFonts w:hint="eastAsia" w:ascii="Arial" w:hAnsi="Arial" w:cs="Arial"/>
          <w:lang w:val="en-US" w:eastAsia="zh-CN"/>
        </w:rPr>
        <w:t>2</w:t>
      </w:r>
      <w:r>
        <w:rPr>
          <w:rFonts w:hint="default" w:ascii="Arial" w:hAnsi="Arial" w:cs="Arial"/>
          <w:lang w:val="en-US" w:eastAsia="zh-CN"/>
        </w:rPr>
        <w:t>.</w:t>
      </w:r>
      <w:r>
        <w:rPr>
          <w:rFonts w:hint="eastAsia" w:ascii="Arial" w:hAnsi="Arial" w:cs="Arial"/>
          <w:lang w:val="en-US" w:eastAsia="zh-CN"/>
        </w:rPr>
        <w:t xml:space="preserve"> Example of direct measurement event prediction</w:t>
      </w:r>
    </w:p>
    <w:p w14:paraId="2DCEAB49">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3: For direct measurement event prediction, the measurement event configuration (e.g. threshold, TTT) and measurement results can be considered as potential </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inference parameter</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w:t>
      </w:r>
    </w:p>
    <w:p w14:paraId="6477F288">
      <w:pPr>
        <w:spacing w:before="120" w:beforeLines="50" w:after="120" w:line="240" w:lineRule="auto"/>
        <w:rPr>
          <w:rFonts w:hint="default" w:ascii="Arial" w:hAnsi="Arial" w:eastAsia="宋体" w:cs="Arial"/>
          <w:sz w:val="21"/>
          <w:szCs w:val="22"/>
          <w:lang w:val="en-US" w:eastAsia="zh-CN"/>
        </w:rPr>
      </w:pPr>
    </w:p>
    <w:p w14:paraId="41A643B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Performance monitoring</w:t>
      </w:r>
    </w:p>
    <w:p w14:paraId="7CFF5750">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For measurement event prediction, RAN2 studied direct prediction and indirect prediction. During the simulation phase, F1 score (for indirect and direct) and time difference between true event and predicted event reporting (for indirect) are used as performance metrics. </w:t>
      </w:r>
    </w:p>
    <w:tbl>
      <w:tblPr>
        <w:tblStyle w:val="15"/>
        <w:tblW w:w="0" w:type="auto"/>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2"/>
      </w:tblGrid>
      <w:tr w14:paraId="0E3D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9" w:type="dxa"/>
          </w:tcPr>
          <w:p w14:paraId="18A119EE">
            <w:pPr>
              <w:pStyle w:val="25"/>
              <w:keepNext w:val="0"/>
              <w:keepLines w:val="0"/>
              <w:pageBreakBefore w:val="0"/>
              <w:widowControl w:val="0"/>
              <w:kinsoku/>
              <w:wordWrap/>
              <w:overflowPunct/>
              <w:topLinePunct w:val="0"/>
              <w:autoSpaceDE/>
              <w:autoSpaceDN/>
              <w:bidi w:val="0"/>
              <w:adjustRightInd/>
              <w:snapToGrid/>
              <w:ind w:left="363"/>
              <w:textAlignment w:val="auto"/>
              <w:rPr>
                <w:rFonts w:hint="default" w:ascii="Arial" w:hAnsi="Arial" w:cs="Arial"/>
                <w:b/>
                <w:bCs/>
                <w:sz w:val="21"/>
                <w:szCs w:val="24"/>
              </w:rPr>
            </w:pPr>
            <w:r>
              <w:rPr>
                <w:rFonts w:hint="default" w:ascii="Arial" w:hAnsi="Arial" w:eastAsia="宋体" w:cs="Arial"/>
                <w:b/>
                <w:bCs/>
                <w:sz w:val="21"/>
                <w:szCs w:val="24"/>
                <w:lang w:val="en-US" w:eastAsia="zh-CN"/>
              </w:rPr>
              <w:t xml:space="preserve">RAN2#127bis </w:t>
            </w:r>
            <w:r>
              <w:rPr>
                <w:rFonts w:hint="default" w:ascii="Arial" w:hAnsi="Arial" w:cs="Arial"/>
                <w:b/>
                <w:bCs/>
                <w:sz w:val="21"/>
                <w:szCs w:val="24"/>
              </w:rPr>
              <w:t>Agreements</w:t>
            </w:r>
          </w:p>
          <w:p w14:paraId="379D0417">
            <w:pPr>
              <w:pStyle w:val="25"/>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Arial" w:hAnsi="Arial" w:cs="Arial"/>
                <w:sz w:val="21"/>
                <w:szCs w:val="24"/>
              </w:rPr>
            </w:pPr>
            <w:r>
              <w:rPr>
                <w:rFonts w:hint="default" w:ascii="Arial" w:hAnsi="Arial" w:cs="Arial"/>
                <w:sz w:val="21"/>
                <w:szCs w:val="24"/>
              </w:rPr>
              <w:t>As baseline, we will use RLF event prediction KPI:</w:t>
            </w:r>
          </w:p>
          <w:p w14:paraId="5DA188F7">
            <w:pPr>
              <w:pStyle w:val="25"/>
              <w:keepNext w:val="0"/>
              <w:keepLines w:val="0"/>
              <w:pageBreakBefore w:val="0"/>
              <w:widowControl w:val="0"/>
              <w:numPr>
                <w:ilvl w:val="0"/>
                <w:numId w:val="13"/>
              </w:numPr>
              <w:kinsoku/>
              <w:wordWrap/>
              <w:overflowPunct/>
              <w:topLinePunct w:val="0"/>
              <w:autoSpaceDE/>
              <w:autoSpaceDN/>
              <w:bidi w:val="0"/>
              <w:adjustRightInd/>
              <w:snapToGrid/>
              <w:textAlignment w:val="auto"/>
              <w:rPr>
                <w:rFonts w:hint="default" w:ascii="Arial" w:hAnsi="Arial" w:cs="Arial"/>
                <w:sz w:val="21"/>
                <w:szCs w:val="24"/>
              </w:rPr>
            </w:pPr>
            <w:r>
              <w:rPr>
                <w:rFonts w:hint="default" w:ascii="Arial" w:hAnsi="Arial" w:cs="Arial"/>
                <w:sz w:val="21"/>
                <w:szCs w:val="24"/>
              </w:rPr>
              <w:t xml:space="preserve">for indirect: </w:t>
            </w:r>
            <w:r>
              <w:rPr>
                <w:rFonts w:hint="default" w:ascii="Arial" w:hAnsi="Arial" w:cs="Arial"/>
                <w:sz w:val="21"/>
                <w:szCs w:val="24"/>
                <w:highlight w:val="yellow"/>
              </w:rPr>
              <w:t>F1 score.</w:t>
            </w:r>
            <w:r>
              <w:rPr>
                <w:rFonts w:hint="default" w:ascii="Arial" w:hAnsi="Arial" w:cs="Arial"/>
                <w:sz w:val="21"/>
                <w:szCs w:val="24"/>
              </w:rPr>
              <w:t xml:space="preserve">  the following can be reported: RSRP difference, missed event detection, false event detection.  FFS how to define F1 score.  </w:t>
            </w:r>
          </w:p>
          <w:p w14:paraId="75A82A25">
            <w:pPr>
              <w:pStyle w:val="25"/>
              <w:keepNext w:val="0"/>
              <w:keepLines w:val="0"/>
              <w:pageBreakBefore w:val="0"/>
              <w:widowControl w:val="0"/>
              <w:numPr>
                <w:ilvl w:val="0"/>
                <w:numId w:val="13"/>
              </w:numPr>
              <w:kinsoku/>
              <w:wordWrap/>
              <w:overflowPunct/>
              <w:topLinePunct w:val="0"/>
              <w:autoSpaceDE/>
              <w:autoSpaceDN/>
              <w:bidi w:val="0"/>
              <w:adjustRightInd/>
              <w:snapToGrid/>
              <w:textAlignment w:val="auto"/>
              <w:rPr>
                <w:rFonts w:hint="default" w:ascii="Arial" w:hAnsi="Arial" w:cs="Arial"/>
                <w:sz w:val="21"/>
                <w:szCs w:val="24"/>
              </w:rPr>
            </w:pPr>
            <w:r>
              <w:rPr>
                <w:rFonts w:hint="default" w:ascii="Arial" w:hAnsi="Arial" w:cs="Arial"/>
                <w:sz w:val="21"/>
                <w:szCs w:val="24"/>
                <w:highlight w:val="yellow"/>
              </w:rPr>
              <w:t>time difference</w:t>
            </w:r>
            <w:r>
              <w:rPr>
                <w:rFonts w:hint="default" w:ascii="Arial" w:hAnsi="Arial" w:cs="Arial"/>
                <w:sz w:val="21"/>
                <w:szCs w:val="24"/>
              </w:rPr>
              <w:t xml:space="preserve"> of true time event reporting triggered and predicted time event reporting triggered, true event prediction. </w:t>
            </w:r>
          </w:p>
          <w:p w14:paraId="3BA6EF7A">
            <w:pPr>
              <w:pStyle w:val="25"/>
              <w:keepNext w:val="0"/>
              <w:keepLines w:val="0"/>
              <w:pageBreakBefore w:val="0"/>
              <w:widowControl w:val="0"/>
              <w:numPr>
                <w:ilvl w:val="0"/>
                <w:numId w:val="13"/>
              </w:numPr>
              <w:kinsoku/>
              <w:wordWrap/>
              <w:overflowPunct/>
              <w:topLinePunct w:val="0"/>
              <w:autoSpaceDE/>
              <w:autoSpaceDN/>
              <w:bidi w:val="0"/>
              <w:adjustRightInd/>
              <w:snapToGrid/>
              <w:textAlignment w:val="auto"/>
              <w:rPr>
                <w:b/>
                <w:bCs/>
              </w:rPr>
            </w:pPr>
            <w:r>
              <w:rPr>
                <w:rFonts w:hint="default" w:ascii="Arial" w:hAnsi="Arial" w:cs="Arial"/>
                <w:sz w:val="21"/>
                <w:szCs w:val="24"/>
              </w:rPr>
              <w:t xml:space="preserve">for direct: </w:t>
            </w:r>
            <w:r>
              <w:rPr>
                <w:rFonts w:hint="default" w:ascii="Arial" w:hAnsi="Arial" w:cs="Arial"/>
                <w:sz w:val="21"/>
                <w:szCs w:val="24"/>
                <w:highlight w:val="yellow"/>
              </w:rPr>
              <w:t>F1 score</w:t>
            </w:r>
            <w:r>
              <w:rPr>
                <w:rFonts w:hint="default" w:ascii="Arial" w:hAnsi="Arial" w:cs="Arial"/>
                <w:sz w:val="21"/>
                <w:szCs w:val="24"/>
              </w:rPr>
              <w:t>.  The following can be reported: missed event detection, false event detection</w:t>
            </w:r>
            <w:r>
              <w:rPr>
                <w:rFonts w:hint="eastAsia" w:ascii="Arial" w:hAnsi="Arial" w:eastAsia="宋体" w:cs="Arial"/>
                <w:sz w:val="21"/>
                <w:szCs w:val="24"/>
                <w:lang w:val="en-US" w:eastAsia="zh-CN"/>
              </w:rPr>
              <w:t>.</w:t>
            </w:r>
            <w:r>
              <w:rPr>
                <w:rFonts w:hint="default" w:ascii="Arial" w:hAnsi="Arial" w:cs="Arial"/>
                <w:sz w:val="21"/>
                <w:szCs w:val="24"/>
              </w:rPr>
              <w:t xml:space="preserve"> </w:t>
            </w:r>
          </w:p>
        </w:tc>
      </w:tr>
    </w:tbl>
    <w:p w14:paraId="3B769BE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宋体" w:cs="Arial"/>
          <w:sz w:val="21"/>
          <w:szCs w:val="22"/>
          <w:lang w:val="en-US" w:eastAsia="zh-CN"/>
        </w:rPr>
        <w:t xml:space="preserve">In last meeting, RAN2 agreed that RSRP differences can be used as the performance metric for monitoring for RRM measurement </w:t>
      </w:r>
      <w:r>
        <w:rPr>
          <w:rFonts w:hint="eastAsia" w:ascii="Arial" w:hAnsi="Arial" w:eastAsia="等线" w:cs="Arial"/>
          <w:lang w:val="en-US" w:eastAsia="zh-CN"/>
        </w:rPr>
        <w:t>prediction</w:t>
      </w:r>
      <w:r>
        <w:rPr>
          <w:rFonts w:hint="eastAsia" w:ascii="Arial" w:hAnsi="Arial" w:eastAsia="宋体" w:cs="Arial"/>
          <w:sz w:val="21"/>
          <w:szCs w:val="22"/>
          <w:lang w:val="en-US" w:eastAsia="zh-CN"/>
        </w:rPr>
        <w:t>. For indirect prediction, the RSRP differences can be also applied, i.e. the UE reports actual measurement results and the network calculates the RSRP differences. Furthermore, for the F1 score or time difference, the UE can report missed event detection, false event detection, the true event time to the network for calculating the metrics. For direct prediction, missed event detection and false event detection can be reported to the network for monitoring.</w:t>
      </w:r>
    </w:p>
    <w:p w14:paraId="125DA8A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4: For NW-side performance monitoring, the UE can report the following information to the network:</w:t>
      </w:r>
    </w:p>
    <w:p w14:paraId="750466D4">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For indirect prediction: actual measurement results, missed event detection, false event detection, true event time</w:t>
      </w:r>
    </w:p>
    <w:p w14:paraId="797497F3">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For direct prediction: missed event detection, false event detection</w:t>
      </w:r>
    </w:p>
    <w:p w14:paraId="78CA0B1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During the previous meeting discussion, some companies proposed that the calculation of F1 score may be complicated for the UE. In fact, there may not be enough available truth-label for a single UE to calculate the performance metrics in a single cell, for example, the network can handover the UE to target cell once a single measurement event is satisfied. However, the network can obtain multiple truth-labels from different UEs and calculate a valuable F1 score.</w:t>
      </w:r>
    </w:p>
    <w:p w14:paraId="654B054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Observation 1: It may be difficult for a single UE to calculate F1 score because there may not be enough available truth-label in a single cell.</w:t>
      </w:r>
    </w:p>
    <w:p w14:paraId="7883E84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宋体" w:cs="Arial"/>
          <w:sz w:val="21"/>
          <w:szCs w:val="22"/>
          <w:lang w:val="en-US" w:eastAsia="zh-CN"/>
        </w:rPr>
        <w:t>Therefore, for UE-side performance monitoring, we think the information reported by the UE is similar to which for NW-side performance monitoring. Specifically, for indirect prediction, the UE can report RSRP differences, missed event detection, and false event detection. Furthermore, for time difference between actual event time and predicted event time for indirect prediction, we believe that it is easy for the UE to calculate and report to the network. On the other hand, for direct prediction, the UE can report missed event detection and false event detection to the network.</w:t>
      </w:r>
    </w:p>
    <w:p w14:paraId="4759A7D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5: For UE-side performance monitoring, the UE can report the following information to the network:</w:t>
      </w:r>
    </w:p>
    <w:p w14:paraId="5580C6FA">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For indirect prediction: RSRP differences, missed event detection, false event detection, time difference between true event time and predicted event time</w:t>
      </w:r>
    </w:p>
    <w:p w14:paraId="2DD6B463">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For direct prediction: missed event detection, false event detection</w:t>
      </w:r>
    </w:p>
    <w:p w14:paraId="21BE1B33">
      <w:pPr>
        <w:spacing w:before="120" w:beforeLines="50" w:after="120" w:line="240" w:lineRule="auto"/>
        <w:rPr>
          <w:rFonts w:hint="default" w:ascii="Arial" w:hAnsi="Arial" w:eastAsia="宋体" w:cs="Arial"/>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proposals on functionality management for measurement event prediction</w:t>
      </w:r>
      <w:r>
        <w:rPr>
          <w:rFonts w:ascii="Arial" w:hAnsi="Arial" w:eastAsia="宋体" w:cs="Arial"/>
          <w:kern w:val="0"/>
          <w:sz w:val="21"/>
          <w:szCs w:val="21"/>
          <w:lang w:val="en-GB" w:eastAsia="en-US"/>
        </w:rPr>
        <w:t>.</w:t>
      </w:r>
    </w:p>
    <w:p w14:paraId="2ECD5BAE">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Applicability reporting</w:t>
      </w:r>
    </w:p>
    <w:p w14:paraId="19E6A53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sz w:val="21"/>
          <w:szCs w:val="21"/>
          <w:lang w:val="en-US" w:eastAsia="zh-CN"/>
        </w:rPr>
      </w:pPr>
      <w:r>
        <w:rPr>
          <w:rFonts w:hint="eastAsia" w:ascii="Arial" w:hAnsi="Arial" w:eastAsia="等线" w:cs="Arial"/>
          <w:b/>
          <w:bCs/>
          <w:sz w:val="21"/>
          <w:szCs w:val="21"/>
          <w:lang w:val="en-US" w:eastAsia="zh-CN"/>
        </w:rPr>
        <w:t>Proposal 1: Reuse the following agreements on beam management in AI/ML PHY to AI Mob:</w:t>
      </w:r>
    </w:p>
    <w:p w14:paraId="1638197B">
      <w:pPr>
        <w:pStyle w:val="25"/>
        <w:numPr>
          <w:ilvl w:val="0"/>
          <w:numId w:val="0"/>
        </w:numPr>
        <w:ind w:leftChars="100"/>
        <w:jc w:val="both"/>
        <w:rPr>
          <w:rFonts w:hint="default" w:ascii="Arial" w:hAnsi="Arial" w:cs="Arial"/>
          <w:b/>
          <w:bCs/>
          <w:sz w:val="21"/>
          <w:szCs w:val="21"/>
        </w:rPr>
      </w:pPr>
      <w:r>
        <w:rPr>
          <w:rFonts w:hint="eastAsia" w:ascii="Arial" w:hAnsi="Arial" w:eastAsia="宋体" w:cs="Arial"/>
          <w:b/>
          <w:bCs/>
          <w:sz w:val="21"/>
          <w:szCs w:val="21"/>
          <w:lang w:val="en-US" w:eastAsia="zh-CN"/>
        </w:rPr>
        <w:t xml:space="preserve">- </w:t>
      </w:r>
      <w:r>
        <w:rPr>
          <w:rFonts w:hint="default" w:ascii="Arial" w:hAnsi="Arial" w:cs="Arial"/>
          <w:b/>
          <w:bCs/>
          <w:sz w:val="21"/>
          <w:szCs w:val="21"/>
        </w:rPr>
        <w:t xml:space="preserve">Introduce “release configuration” flag instead of inapplicability cause to indicate UEs preference to release a configuration </w:t>
      </w:r>
    </w:p>
    <w:p w14:paraId="6A1524B7">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b/>
          <w:bCs/>
          <w:sz w:val="21"/>
          <w:szCs w:val="21"/>
          <w:lang w:val="en-US" w:eastAsia="zh-CN"/>
        </w:rPr>
      </w:pPr>
      <w:r>
        <w:rPr>
          <w:rFonts w:hint="eastAsia" w:ascii="Arial" w:hAnsi="Arial" w:cs="Arial"/>
          <w:b/>
          <w:bCs/>
          <w:sz w:val="21"/>
          <w:szCs w:val="21"/>
          <w:lang w:val="en-US" w:eastAsia="zh-CN"/>
        </w:rPr>
        <w:t xml:space="preserve">- </w:t>
      </w:r>
      <w:r>
        <w:rPr>
          <w:rFonts w:hint="default" w:ascii="Arial" w:hAnsi="Arial" w:cs="Arial"/>
          <w:b/>
          <w:bCs/>
          <w:sz w:val="21"/>
          <w:szCs w:val="21"/>
        </w:rPr>
        <w:t xml:space="preserve">Introduce a flag in </w:t>
      </w:r>
      <w:r>
        <w:rPr>
          <w:rFonts w:hint="default" w:ascii="Arial" w:hAnsi="Arial" w:cs="Arial"/>
          <w:b/>
          <w:bCs/>
          <w:i/>
          <w:iCs/>
          <w:sz w:val="21"/>
          <w:szCs w:val="21"/>
        </w:rPr>
        <w:t xml:space="preserve">OtherConfig </w:t>
      </w:r>
      <w:r>
        <w:rPr>
          <w:rFonts w:hint="default" w:ascii="Arial" w:hAnsi="Arial" w:cs="Arial"/>
          <w:b/>
          <w:bCs/>
          <w:sz w:val="21"/>
          <w:szCs w:val="21"/>
        </w:rPr>
        <w:t xml:space="preserve">indicating whether applicability reporting via UAI is enabled or disabled.  Assume this applies to Option A and B </w:t>
      </w:r>
    </w:p>
    <w:p w14:paraId="41BF1774">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Inference</w:t>
      </w:r>
    </w:p>
    <w:p w14:paraId="06743A0B">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2: The potential </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inference parameters</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 xml:space="preserve"> considered for RRM measurement prediction are also applied for indirect measurement event prediction.</w:t>
      </w:r>
    </w:p>
    <w:p w14:paraId="0764C22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val="0"/>
          <w:sz w:val="20"/>
          <w:szCs w:val="21"/>
          <w:lang w:val="en-US" w:eastAsia="zh-CN"/>
        </w:rPr>
      </w:pPr>
      <w:r>
        <w:rPr>
          <w:rFonts w:hint="eastAsia" w:ascii="Arial" w:hAnsi="Arial" w:eastAsia="宋体" w:cs="Arial"/>
          <w:b/>
          <w:bCs/>
          <w:sz w:val="21"/>
          <w:szCs w:val="22"/>
          <w:lang w:val="en-US" w:eastAsia="zh-CN"/>
        </w:rPr>
        <w:t xml:space="preserve">Proposal 3: For direct measurement event prediction, the measurement event configuration (e.g. threshold, TTT) and measurement results can be considered as potential </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inference parameter</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w:t>
      </w:r>
    </w:p>
    <w:p w14:paraId="18F69496">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eastAsia" w:ascii="Arial" w:hAnsi="Arial" w:eastAsia="等线" w:cs="Arial"/>
          <w:b/>
          <w:bCs/>
          <w:i/>
          <w:iCs/>
          <w:u w:val="single"/>
          <w:lang w:val="en-US" w:eastAsia="zh-CN"/>
        </w:rPr>
      </w:pPr>
      <w:r>
        <w:rPr>
          <w:rFonts w:hint="eastAsia" w:ascii="Arial" w:hAnsi="Arial" w:eastAsia="等线" w:cs="Arial"/>
          <w:b/>
          <w:bCs/>
          <w:i/>
          <w:iCs/>
          <w:u w:val="single"/>
          <w:lang w:val="en-US" w:eastAsia="zh-CN"/>
        </w:rPr>
        <w:t>Performance monitoring</w:t>
      </w:r>
    </w:p>
    <w:p w14:paraId="2F6FE2C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4: For NW-side performance monitoring, the UE can report the following information to the network:</w:t>
      </w:r>
    </w:p>
    <w:p w14:paraId="3F4118DA">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For indirect prediction: actual measurement results, missed event detection, false event detection, true event time</w:t>
      </w:r>
    </w:p>
    <w:p w14:paraId="77E2F475">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For direct prediction: missed event detection, false event detection</w:t>
      </w:r>
    </w:p>
    <w:p w14:paraId="417E4EA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Observation 1: It may be difficult for a single</w:t>
      </w:r>
      <w:bookmarkStart w:id="0" w:name="_GoBack"/>
      <w:bookmarkEnd w:id="0"/>
      <w:r>
        <w:rPr>
          <w:rFonts w:hint="eastAsia" w:ascii="Arial" w:hAnsi="Arial" w:eastAsia="宋体" w:cs="Arial"/>
          <w:b/>
          <w:bCs/>
          <w:sz w:val="21"/>
          <w:szCs w:val="22"/>
          <w:lang w:val="en-US" w:eastAsia="zh-CN"/>
        </w:rPr>
        <w:t xml:space="preserve"> UE to calculate F1 score because there may not be enough available truth-label in a single cell.</w:t>
      </w:r>
    </w:p>
    <w:p w14:paraId="560777C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5: For UE-side performance monitoring, the UE can report the following information to the network:</w:t>
      </w:r>
    </w:p>
    <w:p w14:paraId="30882CA7">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For indirect prediction: RSRP differences, missed event detection, false event detection, time difference between true event time and predicted event time</w:t>
      </w:r>
    </w:p>
    <w:p w14:paraId="10CA12AC">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For direct prediction: missed event detection, false event detection</w:t>
      </w:r>
    </w:p>
    <w:p w14:paraId="4A1049CB">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14"/>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Draft_R</w:t>
      </w:r>
      <w:r>
        <w:rPr>
          <w:rFonts w:hint="eastAsia" w:ascii="Arial" w:hAnsi="Arial" w:eastAsia="宋体" w:cs="Arial"/>
          <w:kern w:val="0"/>
          <w:sz w:val="20"/>
          <w:szCs w:val="20"/>
          <w:lang w:val="en-US" w:eastAsia="zh-CN"/>
        </w:rPr>
        <w:t>AN</w:t>
      </w:r>
      <w:r>
        <w:rPr>
          <w:rFonts w:hint="eastAsia" w:ascii="Arial" w:hAnsi="Arial" w:eastAsia="宋体" w:cs="Arial"/>
          <w:kern w:val="0"/>
          <w:sz w:val="20"/>
          <w:szCs w:val="20"/>
          <w:lang w:val="en-GB" w:eastAsia="en-US"/>
        </w:rPr>
        <w:t>2_1</w:t>
      </w:r>
      <w:r>
        <w:rPr>
          <w:rFonts w:hint="eastAsia" w:ascii="Arial" w:hAnsi="Arial" w:eastAsia="宋体" w:cs="Arial"/>
          <w:kern w:val="0"/>
          <w:sz w:val="20"/>
          <w:szCs w:val="20"/>
          <w:lang w:val="en-US" w:eastAsia="zh-CN"/>
        </w:rPr>
        <w:t>30</w:t>
      </w:r>
      <w:r>
        <w:rPr>
          <w:rFonts w:hint="eastAsia" w:ascii="Arial" w:hAnsi="Arial" w:eastAsia="宋体" w:cs="Arial"/>
          <w:kern w:val="0"/>
          <w:sz w:val="20"/>
          <w:szCs w:val="20"/>
          <w:lang w:val="en-GB" w:eastAsia="en-US"/>
        </w:rPr>
        <w:t>_Meeting_Report</w:t>
      </w:r>
      <w:r>
        <w:rPr>
          <w:rFonts w:hint="eastAsia" w:ascii="Arial" w:hAnsi="Arial" w:eastAsia="宋体" w:cs="Arial"/>
          <w:kern w:val="0"/>
          <w:sz w:val="20"/>
          <w:szCs w:val="20"/>
          <w:lang w:val="en-US" w:eastAsia="zh-CN"/>
        </w:rPr>
        <w:t>_v3</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48A61CF"/>
    <w:multiLevelType w:val="multilevel"/>
    <w:tmpl w:val="048A61CF"/>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065F13C0"/>
    <w:multiLevelType w:val="multilevel"/>
    <w:tmpl w:val="065F13C0"/>
    <w:lvl w:ilvl="0" w:tentative="0">
      <w:start w:val="1"/>
      <w:numFmt w:val="bullet"/>
      <w:lvlText w:val="-"/>
      <w:lvlJc w:val="left"/>
      <w:pPr>
        <w:tabs>
          <w:tab w:val="left" w:pos="840"/>
        </w:tabs>
        <w:ind w:left="2822" w:hanging="360"/>
      </w:pPr>
      <w:rPr>
        <w:rFonts w:hint="default" w:ascii="Arial" w:hAnsi="Arial" w:eastAsia="宋体" w:cs="Arial"/>
      </w:rPr>
    </w:lvl>
    <w:lvl w:ilvl="1" w:tentative="0">
      <w:start w:val="1"/>
      <w:numFmt w:val="bullet"/>
      <w:lvlText w:val="o"/>
      <w:lvlJc w:val="left"/>
      <w:pPr>
        <w:tabs>
          <w:tab w:val="left" w:pos="840"/>
        </w:tabs>
        <w:ind w:left="2283" w:hanging="360"/>
      </w:pPr>
      <w:rPr>
        <w:rFonts w:hint="default" w:ascii="Courier New" w:hAnsi="Courier New" w:cs="Courier New"/>
      </w:rPr>
    </w:lvl>
    <w:lvl w:ilvl="2" w:tentative="0">
      <w:start w:val="1"/>
      <w:numFmt w:val="bullet"/>
      <w:lvlText w:val=""/>
      <w:lvlJc w:val="left"/>
      <w:pPr>
        <w:tabs>
          <w:tab w:val="left" w:pos="840"/>
        </w:tabs>
        <w:ind w:left="3003" w:hanging="360"/>
      </w:pPr>
      <w:rPr>
        <w:rFonts w:hint="default" w:ascii="Wingdings" w:hAnsi="Wingdings"/>
      </w:rPr>
    </w:lvl>
    <w:lvl w:ilvl="3" w:tentative="0">
      <w:start w:val="1"/>
      <w:numFmt w:val="bullet"/>
      <w:lvlText w:val=""/>
      <w:lvlJc w:val="left"/>
      <w:pPr>
        <w:tabs>
          <w:tab w:val="left" w:pos="840"/>
        </w:tabs>
        <w:ind w:left="3723" w:hanging="360"/>
      </w:pPr>
      <w:rPr>
        <w:rFonts w:hint="default" w:ascii="Symbol" w:hAnsi="Symbol"/>
      </w:rPr>
    </w:lvl>
    <w:lvl w:ilvl="4" w:tentative="0">
      <w:start w:val="1"/>
      <w:numFmt w:val="bullet"/>
      <w:lvlText w:val="o"/>
      <w:lvlJc w:val="left"/>
      <w:pPr>
        <w:tabs>
          <w:tab w:val="left" w:pos="840"/>
        </w:tabs>
        <w:ind w:left="4443" w:hanging="360"/>
      </w:pPr>
      <w:rPr>
        <w:rFonts w:hint="default" w:ascii="Courier New" w:hAnsi="Courier New" w:cs="Courier New"/>
      </w:rPr>
    </w:lvl>
    <w:lvl w:ilvl="5" w:tentative="0">
      <w:start w:val="1"/>
      <w:numFmt w:val="bullet"/>
      <w:lvlText w:val=""/>
      <w:lvlJc w:val="left"/>
      <w:pPr>
        <w:tabs>
          <w:tab w:val="left" w:pos="840"/>
        </w:tabs>
        <w:ind w:left="5163" w:hanging="360"/>
      </w:pPr>
      <w:rPr>
        <w:rFonts w:hint="default" w:ascii="Wingdings" w:hAnsi="Wingdings"/>
      </w:rPr>
    </w:lvl>
    <w:lvl w:ilvl="6" w:tentative="0">
      <w:start w:val="1"/>
      <w:numFmt w:val="bullet"/>
      <w:lvlText w:val=""/>
      <w:lvlJc w:val="left"/>
      <w:pPr>
        <w:tabs>
          <w:tab w:val="left" w:pos="840"/>
        </w:tabs>
        <w:ind w:left="5883" w:hanging="360"/>
      </w:pPr>
      <w:rPr>
        <w:rFonts w:hint="default" w:ascii="Symbol" w:hAnsi="Symbol"/>
      </w:rPr>
    </w:lvl>
    <w:lvl w:ilvl="7" w:tentative="0">
      <w:start w:val="1"/>
      <w:numFmt w:val="bullet"/>
      <w:lvlText w:val="o"/>
      <w:lvlJc w:val="left"/>
      <w:pPr>
        <w:tabs>
          <w:tab w:val="left" w:pos="840"/>
        </w:tabs>
        <w:ind w:left="6603" w:hanging="360"/>
      </w:pPr>
      <w:rPr>
        <w:rFonts w:hint="default" w:ascii="Courier New" w:hAnsi="Courier New" w:cs="Courier New"/>
      </w:rPr>
    </w:lvl>
    <w:lvl w:ilvl="8" w:tentative="0">
      <w:start w:val="1"/>
      <w:numFmt w:val="bullet"/>
      <w:lvlText w:val=""/>
      <w:lvlJc w:val="left"/>
      <w:pPr>
        <w:tabs>
          <w:tab w:val="left" w:pos="840"/>
        </w:tabs>
        <w:ind w:left="7323" w:hanging="360"/>
      </w:pPr>
      <w:rPr>
        <w:rFonts w:hint="default" w:ascii="Wingdings" w:hAnsi="Wingdings"/>
      </w:rPr>
    </w:lvl>
  </w:abstractNum>
  <w:abstractNum w:abstractNumId="3">
    <w:nsid w:val="265D08FA"/>
    <w:multiLevelType w:val="multilevel"/>
    <w:tmpl w:val="265D08F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5210141"/>
    <w:multiLevelType w:val="multilevel"/>
    <w:tmpl w:val="352101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53614AD"/>
    <w:multiLevelType w:val="multilevel"/>
    <w:tmpl w:val="353614A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8">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4C051491"/>
    <w:multiLevelType w:val="multilevel"/>
    <w:tmpl w:val="4C05149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0">
    <w:nsid w:val="50BED944"/>
    <w:multiLevelType w:val="singleLevel"/>
    <w:tmpl w:val="50BED944"/>
    <w:lvl w:ilvl="0" w:tentative="0">
      <w:start w:val="1"/>
      <w:numFmt w:val="decimal"/>
      <w:lvlText w:val="%1"/>
      <w:lvlJc w:val="left"/>
    </w:lvl>
  </w:abstractNum>
  <w:abstractNum w:abstractNumId="11">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7AEC75FF"/>
    <w:multiLevelType w:val="multilevel"/>
    <w:tmpl w:val="7AEC75FF"/>
    <w:lvl w:ilvl="0" w:tentative="0">
      <w:start w:val="1"/>
      <w:numFmt w:val="bullet"/>
      <w:lvlText w:val="-"/>
      <w:lvlJc w:val="left"/>
      <w:pPr>
        <w:tabs>
          <w:tab w:val="left" w:pos="840"/>
        </w:tabs>
        <w:ind w:left="2819" w:hanging="360"/>
      </w:pPr>
      <w:rPr>
        <w:rFonts w:hint="default" w:ascii="Arial" w:hAnsi="Arial" w:eastAsia="宋体" w:cs="Arial"/>
      </w:rPr>
    </w:lvl>
    <w:lvl w:ilvl="1" w:tentative="0">
      <w:start w:val="1"/>
      <w:numFmt w:val="bullet"/>
      <w:lvlText w:val="o"/>
      <w:lvlJc w:val="left"/>
      <w:pPr>
        <w:tabs>
          <w:tab w:val="left" w:pos="840"/>
        </w:tabs>
        <w:ind w:left="3539" w:hanging="360"/>
      </w:pPr>
      <w:rPr>
        <w:rFonts w:hint="default" w:ascii="Courier New" w:hAnsi="Courier New" w:cs="Courier New"/>
      </w:rPr>
    </w:lvl>
    <w:lvl w:ilvl="2" w:tentative="0">
      <w:start w:val="1"/>
      <w:numFmt w:val="bullet"/>
      <w:lvlText w:val=""/>
      <w:lvlJc w:val="left"/>
      <w:pPr>
        <w:tabs>
          <w:tab w:val="left" w:pos="840"/>
        </w:tabs>
        <w:ind w:left="4259" w:hanging="360"/>
      </w:pPr>
      <w:rPr>
        <w:rFonts w:hint="default" w:ascii="Wingdings" w:hAnsi="Wingdings"/>
      </w:rPr>
    </w:lvl>
    <w:lvl w:ilvl="3" w:tentative="0">
      <w:start w:val="1"/>
      <w:numFmt w:val="bullet"/>
      <w:lvlText w:val=""/>
      <w:lvlJc w:val="left"/>
      <w:pPr>
        <w:tabs>
          <w:tab w:val="left" w:pos="840"/>
        </w:tabs>
        <w:ind w:left="4979" w:hanging="360"/>
      </w:pPr>
      <w:rPr>
        <w:rFonts w:hint="default" w:ascii="Symbol" w:hAnsi="Symbol"/>
      </w:rPr>
    </w:lvl>
    <w:lvl w:ilvl="4" w:tentative="0">
      <w:start w:val="1"/>
      <w:numFmt w:val="bullet"/>
      <w:lvlText w:val="o"/>
      <w:lvlJc w:val="left"/>
      <w:pPr>
        <w:tabs>
          <w:tab w:val="left" w:pos="840"/>
        </w:tabs>
        <w:ind w:left="5699" w:hanging="360"/>
      </w:pPr>
      <w:rPr>
        <w:rFonts w:hint="default" w:ascii="Courier New" w:hAnsi="Courier New" w:cs="Courier New"/>
      </w:rPr>
    </w:lvl>
    <w:lvl w:ilvl="5" w:tentative="0">
      <w:start w:val="1"/>
      <w:numFmt w:val="bullet"/>
      <w:lvlText w:val=""/>
      <w:lvlJc w:val="left"/>
      <w:pPr>
        <w:tabs>
          <w:tab w:val="left" w:pos="840"/>
        </w:tabs>
        <w:ind w:left="6419" w:hanging="360"/>
      </w:pPr>
      <w:rPr>
        <w:rFonts w:hint="default" w:ascii="Wingdings" w:hAnsi="Wingdings"/>
      </w:rPr>
    </w:lvl>
    <w:lvl w:ilvl="6" w:tentative="0">
      <w:start w:val="1"/>
      <w:numFmt w:val="bullet"/>
      <w:lvlText w:val=""/>
      <w:lvlJc w:val="left"/>
      <w:pPr>
        <w:tabs>
          <w:tab w:val="left" w:pos="840"/>
        </w:tabs>
        <w:ind w:left="7139" w:hanging="360"/>
      </w:pPr>
      <w:rPr>
        <w:rFonts w:hint="default" w:ascii="Symbol" w:hAnsi="Symbol"/>
      </w:rPr>
    </w:lvl>
    <w:lvl w:ilvl="7" w:tentative="0">
      <w:start w:val="1"/>
      <w:numFmt w:val="bullet"/>
      <w:lvlText w:val="o"/>
      <w:lvlJc w:val="left"/>
      <w:pPr>
        <w:tabs>
          <w:tab w:val="left" w:pos="840"/>
        </w:tabs>
        <w:ind w:left="7859" w:hanging="360"/>
      </w:pPr>
      <w:rPr>
        <w:rFonts w:hint="default" w:ascii="Courier New" w:hAnsi="Courier New" w:cs="Courier New"/>
      </w:rPr>
    </w:lvl>
    <w:lvl w:ilvl="8" w:tentative="0">
      <w:start w:val="1"/>
      <w:numFmt w:val="bullet"/>
      <w:lvlText w:val=""/>
      <w:lvlJc w:val="left"/>
      <w:pPr>
        <w:tabs>
          <w:tab w:val="left" w:pos="840"/>
        </w:tabs>
        <w:ind w:left="8579" w:hanging="360"/>
      </w:pPr>
      <w:rPr>
        <w:rFonts w:hint="default" w:ascii="Wingdings" w:hAnsi="Wingdings"/>
      </w:rPr>
    </w:lvl>
  </w:abstractNum>
  <w:num w:numId="1">
    <w:abstractNumId w:val="8"/>
  </w:num>
  <w:num w:numId="2">
    <w:abstractNumId w:val="0"/>
  </w:num>
  <w:num w:numId="3">
    <w:abstractNumId w:val="12"/>
  </w:num>
  <w:num w:numId="4">
    <w:abstractNumId w:val="11"/>
  </w:num>
  <w:num w:numId="5">
    <w:abstractNumId w:val="10"/>
  </w:num>
  <w:num w:numId="6">
    <w:abstractNumId w:val="9"/>
  </w:num>
  <w:num w:numId="7">
    <w:abstractNumId w:val="1"/>
  </w:num>
  <w:num w:numId="8">
    <w:abstractNumId w:val="2"/>
  </w:num>
  <w:num w:numId="9">
    <w:abstractNumId w:val="13"/>
  </w:num>
  <w:num w:numId="10">
    <w:abstractNumId w:val="6"/>
  </w:num>
  <w:num w:numId="11">
    <w:abstractNumId w:val="4"/>
  </w:num>
  <w:num w:numId="12">
    <w:abstractNumId w:val="3"/>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400FE"/>
    <w:rsid w:val="016C5974"/>
    <w:rsid w:val="016E658B"/>
    <w:rsid w:val="0174032B"/>
    <w:rsid w:val="017D7CB0"/>
    <w:rsid w:val="01824738"/>
    <w:rsid w:val="01840FB9"/>
    <w:rsid w:val="019404F8"/>
    <w:rsid w:val="01A0498E"/>
    <w:rsid w:val="01A574CF"/>
    <w:rsid w:val="01A60C1B"/>
    <w:rsid w:val="01E966BF"/>
    <w:rsid w:val="02025461"/>
    <w:rsid w:val="02293976"/>
    <w:rsid w:val="02371446"/>
    <w:rsid w:val="02395107"/>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ED2655"/>
    <w:rsid w:val="0404039C"/>
    <w:rsid w:val="041A101A"/>
    <w:rsid w:val="042468D3"/>
    <w:rsid w:val="044B7594"/>
    <w:rsid w:val="04616861"/>
    <w:rsid w:val="04861CA0"/>
    <w:rsid w:val="048666E2"/>
    <w:rsid w:val="04A12BB9"/>
    <w:rsid w:val="04A37BF0"/>
    <w:rsid w:val="04BD4BCE"/>
    <w:rsid w:val="04F25DBA"/>
    <w:rsid w:val="04F46CEE"/>
    <w:rsid w:val="04FA7115"/>
    <w:rsid w:val="04FD5053"/>
    <w:rsid w:val="054134AD"/>
    <w:rsid w:val="05551670"/>
    <w:rsid w:val="056C27CB"/>
    <w:rsid w:val="0571089C"/>
    <w:rsid w:val="058844D8"/>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70E2E"/>
    <w:rsid w:val="0C202296"/>
    <w:rsid w:val="0C415301"/>
    <w:rsid w:val="0C4853AF"/>
    <w:rsid w:val="0C5466CF"/>
    <w:rsid w:val="0C6C1EE0"/>
    <w:rsid w:val="0C7F3E15"/>
    <w:rsid w:val="0C7F7B27"/>
    <w:rsid w:val="0CC05689"/>
    <w:rsid w:val="0CD5224C"/>
    <w:rsid w:val="0CE47224"/>
    <w:rsid w:val="0CED527E"/>
    <w:rsid w:val="0D09234F"/>
    <w:rsid w:val="0D362C45"/>
    <w:rsid w:val="0D570A89"/>
    <w:rsid w:val="0D574214"/>
    <w:rsid w:val="0D711EBE"/>
    <w:rsid w:val="0D771EA7"/>
    <w:rsid w:val="0DA728AC"/>
    <w:rsid w:val="0DAD175B"/>
    <w:rsid w:val="0DB25F8E"/>
    <w:rsid w:val="0DC77FFF"/>
    <w:rsid w:val="0DE11C21"/>
    <w:rsid w:val="0DE14E46"/>
    <w:rsid w:val="0E0422AA"/>
    <w:rsid w:val="0E3D4FDF"/>
    <w:rsid w:val="0E4A09D7"/>
    <w:rsid w:val="0E56201A"/>
    <w:rsid w:val="0E6C0832"/>
    <w:rsid w:val="0E6E3C34"/>
    <w:rsid w:val="0EAF327B"/>
    <w:rsid w:val="0EC43EB5"/>
    <w:rsid w:val="0EE20A7B"/>
    <w:rsid w:val="0F1D748A"/>
    <w:rsid w:val="0F4E079B"/>
    <w:rsid w:val="0F732504"/>
    <w:rsid w:val="0F782620"/>
    <w:rsid w:val="0F8A7784"/>
    <w:rsid w:val="0F8C51E0"/>
    <w:rsid w:val="0FA0270A"/>
    <w:rsid w:val="0FC803F4"/>
    <w:rsid w:val="0FCA4E7F"/>
    <w:rsid w:val="10090A65"/>
    <w:rsid w:val="108B22CD"/>
    <w:rsid w:val="109C30D1"/>
    <w:rsid w:val="10AC6F3F"/>
    <w:rsid w:val="10C31C47"/>
    <w:rsid w:val="10C64AE7"/>
    <w:rsid w:val="10F04644"/>
    <w:rsid w:val="110171B2"/>
    <w:rsid w:val="111422F1"/>
    <w:rsid w:val="11171B9A"/>
    <w:rsid w:val="111F30A5"/>
    <w:rsid w:val="113E2BC1"/>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9327D8"/>
    <w:rsid w:val="13A46671"/>
    <w:rsid w:val="13D36FA4"/>
    <w:rsid w:val="14256000"/>
    <w:rsid w:val="1466786F"/>
    <w:rsid w:val="148D4FA6"/>
    <w:rsid w:val="149733D6"/>
    <w:rsid w:val="14A668A4"/>
    <w:rsid w:val="14A9029F"/>
    <w:rsid w:val="14B83431"/>
    <w:rsid w:val="14D815EB"/>
    <w:rsid w:val="14E836E8"/>
    <w:rsid w:val="14F142C3"/>
    <w:rsid w:val="150B2175"/>
    <w:rsid w:val="150B6FBF"/>
    <w:rsid w:val="152B1104"/>
    <w:rsid w:val="154A66B0"/>
    <w:rsid w:val="15547DDF"/>
    <w:rsid w:val="159C7EDD"/>
    <w:rsid w:val="15BE553B"/>
    <w:rsid w:val="15E03E14"/>
    <w:rsid w:val="15E4550B"/>
    <w:rsid w:val="15E9482E"/>
    <w:rsid w:val="160F3727"/>
    <w:rsid w:val="161147C5"/>
    <w:rsid w:val="16327956"/>
    <w:rsid w:val="166A7A3B"/>
    <w:rsid w:val="16725680"/>
    <w:rsid w:val="168B0BBD"/>
    <w:rsid w:val="168B7CC4"/>
    <w:rsid w:val="16996A0B"/>
    <w:rsid w:val="16A3322F"/>
    <w:rsid w:val="16B56AEF"/>
    <w:rsid w:val="16C120B7"/>
    <w:rsid w:val="16C47023"/>
    <w:rsid w:val="16CD3708"/>
    <w:rsid w:val="16D23426"/>
    <w:rsid w:val="16D51B5B"/>
    <w:rsid w:val="16D7712F"/>
    <w:rsid w:val="16ED23AA"/>
    <w:rsid w:val="16F04ED6"/>
    <w:rsid w:val="172F4118"/>
    <w:rsid w:val="17607D54"/>
    <w:rsid w:val="17694A75"/>
    <w:rsid w:val="17916AE6"/>
    <w:rsid w:val="179D12F3"/>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92E5438"/>
    <w:rsid w:val="192F165F"/>
    <w:rsid w:val="19547778"/>
    <w:rsid w:val="195E3B99"/>
    <w:rsid w:val="196E4FB3"/>
    <w:rsid w:val="197E58BE"/>
    <w:rsid w:val="19C51AEA"/>
    <w:rsid w:val="19CE1BFF"/>
    <w:rsid w:val="19FE65D7"/>
    <w:rsid w:val="1A1C0B7B"/>
    <w:rsid w:val="1A40430B"/>
    <w:rsid w:val="1A443933"/>
    <w:rsid w:val="1A4C566A"/>
    <w:rsid w:val="1A9A126F"/>
    <w:rsid w:val="1AA128F8"/>
    <w:rsid w:val="1AA4601E"/>
    <w:rsid w:val="1AA65DB0"/>
    <w:rsid w:val="1ABB3621"/>
    <w:rsid w:val="1ABC6D78"/>
    <w:rsid w:val="1ABF7C53"/>
    <w:rsid w:val="1ADE6206"/>
    <w:rsid w:val="1AE7452F"/>
    <w:rsid w:val="1AEB507C"/>
    <w:rsid w:val="1B073464"/>
    <w:rsid w:val="1B2A626C"/>
    <w:rsid w:val="1B5E2B2B"/>
    <w:rsid w:val="1B695698"/>
    <w:rsid w:val="1BB22919"/>
    <w:rsid w:val="1BB93D57"/>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9948E6"/>
    <w:rsid w:val="1DA1677A"/>
    <w:rsid w:val="1DA90A2F"/>
    <w:rsid w:val="1DAA5425"/>
    <w:rsid w:val="1DBD1612"/>
    <w:rsid w:val="1DE55E1B"/>
    <w:rsid w:val="1DEA2636"/>
    <w:rsid w:val="1E015BFF"/>
    <w:rsid w:val="1E261FEC"/>
    <w:rsid w:val="1E3D5D61"/>
    <w:rsid w:val="1E3E032D"/>
    <w:rsid w:val="1E4C7D38"/>
    <w:rsid w:val="1E5D014C"/>
    <w:rsid w:val="1E625159"/>
    <w:rsid w:val="1E683F1C"/>
    <w:rsid w:val="1E6C052F"/>
    <w:rsid w:val="1E8017FF"/>
    <w:rsid w:val="1EB31B66"/>
    <w:rsid w:val="1EB529F8"/>
    <w:rsid w:val="1EEC75A7"/>
    <w:rsid w:val="1EF17AB3"/>
    <w:rsid w:val="1EF92460"/>
    <w:rsid w:val="1F1F4D17"/>
    <w:rsid w:val="1F387386"/>
    <w:rsid w:val="1F4B516F"/>
    <w:rsid w:val="1F5772F6"/>
    <w:rsid w:val="1F5E6350"/>
    <w:rsid w:val="1F7E629B"/>
    <w:rsid w:val="1F8A3BD5"/>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E30EC1"/>
    <w:rsid w:val="23365998"/>
    <w:rsid w:val="236906A5"/>
    <w:rsid w:val="2375481A"/>
    <w:rsid w:val="23797368"/>
    <w:rsid w:val="23822B30"/>
    <w:rsid w:val="239A4DC9"/>
    <w:rsid w:val="23B828A0"/>
    <w:rsid w:val="23EE120B"/>
    <w:rsid w:val="23EF4BBA"/>
    <w:rsid w:val="2403705B"/>
    <w:rsid w:val="24110B80"/>
    <w:rsid w:val="242332EA"/>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741477"/>
    <w:rsid w:val="26A276B5"/>
    <w:rsid w:val="26B6068C"/>
    <w:rsid w:val="26BA68C7"/>
    <w:rsid w:val="26BB1824"/>
    <w:rsid w:val="26BF5E40"/>
    <w:rsid w:val="26C12C45"/>
    <w:rsid w:val="26F237CD"/>
    <w:rsid w:val="2719754A"/>
    <w:rsid w:val="2725126B"/>
    <w:rsid w:val="27375D6E"/>
    <w:rsid w:val="274C2D2B"/>
    <w:rsid w:val="27704000"/>
    <w:rsid w:val="2796594E"/>
    <w:rsid w:val="27B135A1"/>
    <w:rsid w:val="27BC024E"/>
    <w:rsid w:val="27BE3E87"/>
    <w:rsid w:val="27C17045"/>
    <w:rsid w:val="27C35275"/>
    <w:rsid w:val="283167B4"/>
    <w:rsid w:val="283F43FA"/>
    <w:rsid w:val="28615FB4"/>
    <w:rsid w:val="28682A73"/>
    <w:rsid w:val="289D577F"/>
    <w:rsid w:val="28E404D9"/>
    <w:rsid w:val="28F4407D"/>
    <w:rsid w:val="291138C7"/>
    <w:rsid w:val="29120E51"/>
    <w:rsid w:val="292F6255"/>
    <w:rsid w:val="295A0994"/>
    <w:rsid w:val="295A50C3"/>
    <w:rsid w:val="29733D9F"/>
    <w:rsid w:val="299517AA"/>
    <w:rsid w:val="29A61468"/>
    <w:rsid w:val="29BE37C1"/>
    <w:rsid w:val="29D972D3"/>
    <w:rsid w:val="29DF7FFE"/>
    <w:rsid w:val="2A0B3F8F"/>
    <w:rsid w:val="2A5039D7"/>
    <w:rsid w:val="2A665688"/>
    <w:rsid w:val="2A7D74CC"/>
    <w:rsid w:val="2A7F4563"/>
    <w:rsid w:val="2AB12D4D"/>
    <w:rsid w:val="2B3F4C1F"/>
    <w:rsid w:val="2B464915"/>
    <w:rsid w:val="2B4D1216"/>
    <w:rsid w:val="2B543C6C"/>
    <w:rsid w:val="2B58393A"/>
    <w:rsid w:val="2B5E253A"/>
    <w:rsid w:val="2B8030A5"/>
    <w:rsid w:val="2BB761AE"/>
    <w:rsid w:val="2BC37D39"/>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93955"/>
    <w:rsid w:val="2E3D031C"/>
    <w:rsid w:val="2E690493"/>
    <w:rsid w:val="2EA86437"/>
    <w:rsid w:val="2EB103B1"/>
    <w:rsid w:val="2F0F71E6"/>
    <w:rsid w:val="2F195F69"/>
    <w:rsid w:val="2F2A3F66"/>
    <w:rsid w:val="2F383A5C"/>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1241C3"/>
    <w:rsid w:val="30296BB8"/>
    <w:rsid w:val="30546F05"/>
    <w:rsid w:val="30761EF0"/>
    <w:rsid w:val="30890423"/>
    <w:rsid w:val="309D4655"/>
    <w:rsid w:val="30A27A0B"/>
    <w:rsid w:val="30A35497"/>
    <w:rsid w:val="30C026F3"/>
    <w:rsid w:val="315423FA"/>
    <w:rsid w:val="315B7AEC"/>
    <w:rsid w:val="31710789"/>
    <w:rsid w:val="317503B0"/>
    <w:rsid w:val="318D4BEA"/>
    <w:rsid w:val="31A977AF"/>
    <w:rsid w:val="31AC0A51"/>
    <w:rsid w:val="31D53C4D"/>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3A03D8"/>
    <w:rsid w:val="3450315F"/>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B50461"/>
    <w:rsid w:val="35C36B07"/>
    <w:rsid w:val="35C60438"/>
    <w:rsid w:val="360D6591"/>
    <w:rsid w:val="361F2C5E"/>
    <w:rsid w:val="363976F7"/>
    <w:rsid w:val="365437D6"/>
    <w:rsid w:val="36681B72"/>
    <w:rsid w:val="366E68DA"/>
    <w:rsid w:val="36702533"/>
    <w:rsid w:val="369938DF"/>
    <w:rsid w:val="36BD137C"/>
    <w:rsid w:val="36DE2E34"/>
    <w:rsid w:val="36E02E58"/>
    <w:rsid w:val="36E614FC"/>
    <w:rsid w:val="36F84B57"/>
    <w:rsid w:val="370568EE"/>
    <w:rsid w:val="37133692"/>
    <w:rsid w:val="373F7C5E"/>
    <w:rsid w:val="3746309F"/>
    <w:rsid w:val="3751494E"/>
    <w:rsid w:val="375A24EA"/>
    <w:rsid w:val="37757EA8"/>
    <w:rsid w:val="3784494C"/>
    <w:rsid w:val="378A1E8D"/>
    <w:rsid w:val="378E03EF"/>
    <w:rsid w:val="37BC00E4"/>
    <w:rsid w:val="37C859C7"/>
    <w:rsid w:val="37D62F7A"/>
    <w:rsid w:val="37E30435"/>
    <w:rsid w:val="37E40AE8"/>
    <w:rsid w:val="37F3629E"/>
    <w:rsid w:val="3801173C"/>
    <w:rsid w:val="38060F79"/>
    <w:rsid w:val="38377799"/>
    <w:rsid w:val="3839587C"/>
    <w:rsid w:val="384E5182"/>
    <w:rsid w:val="384E5649"/>
    <w:rsid w:val="38746ABC"/>
    <w:rsid w:val="38761BD7"/>
    <w:rsid w:val="38AE69D5"/>
    <w:rsid w:val="38B36EDA"/>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D0998"/>
    <w:rsid w:val="3ED508CA"/>
    <w:rsid w:val="3F1109BC"/>
    <w:rsid w:val="3F1B7587"/>
    <w:rsid w:val="3F334B22"/>
    <w:rsid w:val="3F6525B0"/>
    <w:rsid w:val="3F805B16"/>
    <w:rsid w:val="3F892743"/>
    <w:rsid w:val="3FA011AF"/>
    <w:rsid w:val="3FA42170"/>
    <w:rsid w:val="3FAF36DB"/>
    <w:rsid w:val="3FBB4762"/>
    <w:rsid w:val="3FCB6BE9"/>
    <w:rsid w:val="3FF20BC0"/>
    <w:rsid w:val="402B1A4C"/>
    <w:rsid w:val="402F1229"/>
    <w:rsid w:val="405759DA"/>
    <w:rsid w:val="40607D10"/>
    <w:rsid w:val="406A14B3"/>
    <w:rsid w:val="407C15D8"/>
    <w:rsid w:val="408B597B"/>
    <w:rsid w:val="409D1B0D"/>
    <w:rsid w:val="40C97868"/>
    <w:rsid w:val="40F97CA8"/>
    <w:rsid w:val="41171B69"/>
    <w:rsid w:val="412B59AE"/>
    <w:rsid w:val="41310F0B"/>
    <w:rsid w:val="41415E9E"/>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D3A87"/>
    <w:rsid w:val="43600192"/>
    <w:rsid w:val="43617533"/>
    <w:rsid w:val="437377FC"/>
    <w:rsid w:val="43964A1C"/>
    <w:rsid w:val="43E22B61"/>
    <w:rsid w:val="44010D72"/>
    <w:rsid w:val="44031DB9"/>
    <w:rsid w:val="44073C4A"/>
    <w:rsid w:val="447943E7"/>
    <w:rsid w:val="44B41FCD"/>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A3C1C"/>
    <w:rsid w:val="46496788"/>
    <w:rsid w:val="466710B0"/>
    <w:rsid w:val="466E6ADA"/>
    <w:rsid w:val="46776100"/>
    <w:rsid w:val="4699240B"/>
    <w:rsid w:val="46B7014A"/>
    <w:rsid w:val="46C942A7"/>
    <w:rsid w:val="46DD4977"/>
    <w:rsid w:val="46DE0D2C"/>
    <w:rsid w:val="46EC22D2"/>
    <w:rsid w:val="46ED5CA5"/>
    <w:rsid w:val="46FE4C6E"/>
    <w:rsid w:val="47062AB6"/>
    <w:rsid w:val="475A659D"/>
    <w:rsid w:val="475D222C"/>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4B446A"/>
    <w:rsid w:val="494E1C27"/>
    <w:rsid w:val="497A40B6"/>
    <w:rsid w:val="498D0C93"/>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F535C1"/>
    <w:rsid w:val="4AFF32E7"/>
    <w:rsid w:val="4B08573B"/>
    <w:rsid w:val="4B130CAC"/>
    <w:rsid w:val="4B1530DD"/>
    <w:rsid w:val="4B372DDA"/>
    <w:rsid w:val="4B427D58"/>
    <w:rsid w:val="4B5E0F1C"/>
    <w:rsid w:val="4B626F00"/>
    <w:rsid w:val="4BC53B5B"/>
    <w:rsid w:val="4BD84EB3"/>
    <w:rsid w:val="4BDA30DC"/>
    <w:rsid w:val="4BE53FE4"/>
    <w:rsid w:val="4C083AFB"/>
    <w:rsid w:val="4C340FD6"/>
    <w:rsid w:val="4C4D4AF8"/>
    <w:rsid w:val="4C744BB3"/>
    <w:rsid w:val="4C851F32"/>
    <w:rsid w:val="4C964045"/>
    <w:rsid w:val="4CBF0100"/>
    <w:rsid w:val="4CC572D8"/>
    <w:rsid w:val="4CD10909"/>
    <w:rsid w:val="4CE2366D"/>
    <w:rsid w:val="4CF74EC2"/>
    <w:rsid w:val="4D010671"/>
    <w:rsid w:val="4D316B33"/>
    <w:rsid w:val="4D352FBB"/>
    <w:rsid w:val="4D643156"/>
    <w:rsid w:val="4D743D8A"/>
    <w:rsid w:val="4DA41250"/>
    <w:rsid w:val="4DA96C4E"/>
    <w:rsid w:val="4DCA2EC8"/>
    <w:rsid w:val="4DF70A62"/>
    <w:rsid w:val="4DFC7089"/>
    <w:rsid w:val="4E0614E3"/>
    <w:rsid w:val="4E2452B7"/>
    <w:rsid w:val="4E4B0299"/>
    <w:rsid w:val="4E695109"/>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A31F5"/>
    <w:rsid w:val="4F7D7EAE"/>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970CD"/>
    <w:rsid w:val="50AB2F6C"/>
    <w:rsid w:val="50B4528A"/>
    <w:rsid w:val="50B550E9"/>
    <w:rsid w:val="50C72D83"/>
    <w:rsid w:val="50E152EB"/>
    <w:rsid w:val="512F2A1E"/>
    <w:rsid w:val="5163596F"/>
    <w:rsid w:val="51642065"/>
    <w:rsid w:val="5178014C"/>
    <w:rsid w:val="51895F2D"/>
    <w:rsid w:val="518F48C5"/>
    <w:rsid w:val="51A0460E"/>
    <w:rsid w:val="51A823AB"/>
    <w:rsid w:val="51C656B6"/>
    <w:rsid w:val="51CC648B"/>
    <w:rsid w:val="51E202B2"/>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E0CB6"/>
    <w:rsid w:val="53D170F4"/>
    <w:rsid w:val="54271E31"/>
    <w:rsid w:val="543C1277"/>
    <w:rsid w:val="544F1C50"/>
    <w:rsid w:val="545A7783"/>
    <w:rsid w:val="54606A92"/>
    <w:rsid w:val="54611A81"/>
    <w:rsid w:val="54A3027F"/>
    <w:rsid w:val="54CF69F2"/>
    <w:rsid w:val="54DC110F"/>
    <w:rsid w:val="556A1C0B"/>
    <w:rsid w:val="5573146B"/>
    <w:rsid w:val="55846FDD"/>
    <w:rsid w:val="558933C3"/>
    <w:rsid w:val="55B177EA"/>
    <w:rsid w:val="55CD48C4"/>
    <w:rsid w:val="55D45D46"/>
    <w:rsid w:val="55F936B0"/>
    <w:rsid w:val="560C425A"/>
    <w:rsid w:val="562365CA"/>
    <w:rsid w:val="56340430"/>
    <w:rsid w:val="56581D59"/>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AD7B0E"/>
    <w:rsid w:val="59B87054"/>
    <w:rsid w:val="59B94A57"/>
    <w:rsid w:val="59D55070"/>
    <w:rsid w:val="59DA18AC"/>
    <w:rsid w:val="59E546A4"/>
    <w:rsid w:val="59FD6E5D"/>
    <w:rsid w:val="5A2A0DB1"/>
    <w:rsid w:val="5A2F5AF5"/>
    <w:rsid w:val="5A423B99"/>
    <w:rsid w:val="5A4439EB"/>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726179"/>
    <w:rsid w:val="5B987BF7"/>
    <w:rsid w:val="5B993CE6"/>
    <w:rsid w:val="5B9C16B8"/>
    <w:rsid w:val="5BAF6495"/>
    <w:rsid w:val="5BBB2383"/>
    <w:rsid w:val="5BF25754"/>
    <w:rsid w:val="5BF5497E"/>
    <w:rsid w:val="5C0F1DCA"/>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3A6AA2"/>
    <w:rsid w:val="5E3E4C2D"/>
    <w:rsid w:val="5E5867E1"/>
    <w:rsid w:val="5E674F7E"/>
    <w:rsid w:val="5E874CE8"/>
    <w:rsid w:val="5EB00E5C"/>
    <w:rsid w:val="5ED35331"/>
    <w:rsid w:val="5ED5413E"/>
    <w:rsid w:val="5EE37831"/>
    <w:rsid w:val="5EEB7859"/>
    <w:rsid w:val="5F0A3D5F"/>
    <w:rsid w:val="5F0D0B67"/>
    <w:rsid w:val="5F155949"/>
    <w:rsid w:val="5F213F68"/>
    <w:rsid w:val="5F2F6349"/>
    <w:rsid w:val="5F600D4E"/>
    <w:rsid w:val="5F691769"/>
    <w:rsid w:val="5F8A45B7"/>
    <w:rsid w:val="5F8E3078"/>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80773A"/>
    <w:rsid w:val="61A06374"/>
    <w:rsid w:val="62045801"/>
    <w:rsid w:val="622470A5"/>
    <w:rsid w:val="62247F4C"/>
    <w:rsid w:val="62263653"/>
    <w:rsid w:val="622D2FAA"/>
    <w:rsid w:val="62377615"/>
    <w:rsid w:val="625D25EA"/>
    <w:rsid w:val="62857C4E"/>
    <w:rsid w:val="6286607D"/>
    <w:rsid w:val="62A62781"/>
    <w:rsid w:val="62E05FC6"/>
    <w:rsid w:val="62FD3864"/>
    <w:rsid w:val="62FE2016"/>
    <w:rsid w:val="63443CE4"/>
    <w:rsid w:val="63464F7D"/>
    <w:rsid w:val="634B0772"/>
    <w:rsid w:val="635E3783"/>
    <w:rsid w:val="636E7A2E"/>
    <w:rsid w:val="637815DC"/>
    <w:rsid w:val="63815A2A"/>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8066C4"/>
    <w:rsid w:val="65912A7B"/>
    <w:rsid w:val="65A06DD6"/>
    <w:rsid w:val="65C900C9"/>
    <w:rsid w:val="65D2326E"/>
    <w:rsid w:val="660428AE"/>
    <w:rsid w:val="660D1E09"/>
    <w:rsid w:val="660E4242"/>
    <w:rsid w:val="662519F4"/>
    <w:rsid w:val="66354951"/>
    <w:rsid w:val="66493824"/>
    <w:rsid w:val="666A2C09"/>
    <w:rsid w:val="6679092A"/>
    <w:rsid w:val="669315AD"/>
    <w:rsid w:val="669F035C"/>
    <w:rsid w:val="66A84CFD"/>
    <w:rsid w:val="66BA2385"/>
    <w:rsid w:val="66CB4DC3"/>
    <w:rsid w:val="66DB09CF"/>
    <w:rsid w:val="66E96680"/>
    <w:rsid w:val="67137066"/>
    <w:rsid w:val="67237A0F"/>
    <w:rsid w:val="6732233F"/>
    <w:rsid w:val="673267CD"/>
    <w:rsid w:val="67487CFE"/>
    <w:rsid w:val="67695728"/>
    <w:rsid w:val="677038E2"/>
    <w:rsid w:val="677777A9"/>
    <w:rsid w:val="67A672BA"/>
    <w:rsid w:val="67A82EE9"/>
    <w:rsid w:val="67B3370E"/>
    <w:rsid w:val="67B43783"/>
    <w:rsid w:val="67B92A72"/>
    <w:rsid w:val="67D019D1"/>
    <w:rsid w:val="67D547C2"/>
    <w:rsid w:val="67D64A49"/>
    <w:rsid w:val="67E23D3D"/>
    <w:rsid w:val="67FA0E09"/>
    <w:rsid w:val="68075EA1"/>
    <w:rsid w:val="681E2A90"/>
    <w:rsid w:val="68233F9E"/>
    <w:rsid w:val="68277A88"/>
    <w:rsid w:val="68340B83"/>
    <w:rsid w:val="68446023"/>
    <w:rsid w:val="686831F8"/>
    <w:rsid w:val="689340A3"/>
    <w:rsid w:val="68A12E72"/>
    <w:rsid w:val="68DC73EC"/>
    <w:rsid w:val="68EE4073"/>
    <w:rsid w:val="68EF720B"/>
    <w:rsid w:val="68F93689"/>
    <w:rsid w:val="69054B5C"/>
    <w:rsid w:val="69293200"/>
    <w:rsid w:val="694347AF"/>
    <w:rsid w:val="694F06EB"/>
    <w:rsid w:val="6963607F"/>
    <w:rsid w:val="696403F8"/>
    <w:rsid w:val="69766916"/>
    <w:rsid w:val="697823B7"/>
    <w:rsid w:val="698D63CB"/>
    <w:rsid w:val="698F77F4"/>
    <w:rsid w:val="6990103B"/>
    <w:rsid w:val="699D2360"/>
    <w:rsid w:val="69B23B9D"/>
    <w:rsid w:val="69C02956"/>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577C6F"/>
    <w:rsid w:val="6B6F630E"/>
    <w:rsid w:val="6B707214"/>
    <w:rsid w:val="6B923E7E"/>
    <w:rsid w:val="6B9C69D2"/>
    <w:rsid w:val="6BB104FC"/>
    <w:rsid w:val="6BBB0AAB"/>
    <w:rsid w:val="6BC75657"/>
    <w:rsid w:val="6BD126F0"/>
    <w:rsid w:val="6BE1773A"/>
    <w:rsid w:val="6BE35659"/>
    <w:rsid w:val="6BF753DD"/>
    <w:rsid w:val="6C2B66F7"/>
    <w:rsid w:val="6C471791"/>
    <w:rsid w:val="6C56491E"/>
    <w:rsid w:val="6C5B64F3"/>
    <w:rsid w:val="6C7A7686"/>
    <w:rsid w:val="6C99501C"/>
    <w:rsid w:val="6CAC2B5E"/>
    <w:rsid w:val="6CB001A9"/>
    <w:rsid w:val="6CB84F3A"/>
    <w:rsid w:val="6CC306D1"/>
    <w:rsid w:val="6CD429A0"/>
    <w:rsid w:val="6D0540F4"/>
    <w:rsid w:val="6D05726A"/>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D00DA"/>
    <w:rsid w:val="6FFF03F0"/>
    <w:rsid w:val="701F34FD"/>
    <w:rsid w:val="70352925"/>
    <w:rsid w:val="70505871"/>
    <w:rsid w:val="7059136B"/>
    <w:rsid w:val="706B4405"/>
    <w:rsid w:val="70732893"/>
    <w:rsid w:val="70801B07"/>
    <w:rsid w:val="7080699B"/>
    <w:rsid w:val="70827D2B"/>
    <w:rsid w:val="709A7A5C"/>
    <w:rsid w:val="70A1406F"/>
    <w:rsid w:val="70A51EBC"/>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A7695"/>
    <w:rsid w:val="71EE7FB9"/>
    <w:rsid w:val="72155E50"/>
    <w:rsid w:val="721D341E"/>
    <w:rsid w:val="72536FDC"/>
    <w:rsid w:val="727D75DF"/>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906613"/>
    <w:rsid w:val="77B91A42"/>
    <w:rsid w:val="77C22AA7"/>
    <w:rsid w:val="77C5780E"/>
    <w:rsid w:val="77F35CA4"/>
    <w:rsid w:val="781A76D5"/>
    <w:rsid w:val="781F4337"/>
    <w:rsid w:val="782F327E"/>
    <w:rsid w:val="78397A32"/>
    <w:rsid w:val="78632E2A"/>
    <w:rsid w:val="78A06277"/>
    <w:rsid w:val="78C64F8E"/>
    <w:rsid w:val="78CF4735"/>
    <w:rsid w:val="78D03AFF"/>
    <w:rsid w:val="791A1EB8"/>
    <w:rsid w:val="791E4FA3"/>
    <w:rsid w:val="79402950"/>
    <w:rsid w:val="79526126"/>
    <w:rsid w:val="797161CD"/>
    <w:rsid w:val="797167CA"/>
    <w:rsid w:val="798E4E1E"/>
    <w:rsid w:val="799E2AB3"/>
    <w:rsid w:val="79A37A59"/>
    <w:rsid w:val="79C61A14"/>
    <w:rsid w:val="79C85435"/>
    <w:rsid w:val="79EE5B89"/>
    <w:rsid w:val="79F05A1B"/>
    <w:rsid w:val="79F05C22"/>
    <w:rsid w:val="7A020CA3"/>
    <w:rsid w:val="7A067805"/>
    <w:rsid w:val="7A5E5838"/>
    <w:rsid w:val="7AA408FA"/>
    <w:rsid w:val="7AD65B35"/>
    <w:rsid w:val="7B123707"/>
    <w:rsid w:val="7B236D19"/>
    <w:rsid w:val="7B307625"/>
    <w:rsid w:val="7B347CEC"/>
    <w:rsid w:val="7B576B4E"/>
    <w:rsid w:val="7B595E59"/>
    <w:rsid w:val="7B5B79B7"/>
    <w:rsid w:val="7B761608"/>
    <w:rsid w:val="7B761892"/>
    <w:rsid w:val="7B87133C"/>
    <w:rsid w:val="7BC006D8"/>
    <w:rsid w:val="7BC10593"/>
    <w:rsid w:val="7BF4357B"/>
    <w:rsid w:val="7C105077"/>
    <w:rsid w:val="7C416F95"/>
    <w:rsid w:val="7C4E5B9F"/>
    <w:rsid w:val="7C580760"/>
    <w:rsid w:val="7C824B4A"/>
    <w:rsid w:val="7C8B3404"/>
    <w:rsid w:val="7C9868DA"/>
    <w:rsid w:val="7C9C47E0"/>
    <w:rsid w:val="7C9E070C"/>
    <w:rsid w:val="7CBB152F"/>
    <w:rsid w:val="7D193EA6"/>
    <w:rsid w:val="7D1C38BC"/>
    <w:rsid w:val="7D2C343C"/>
    <w:rsid w:val="7D3603BB"/>
    <w:rsid w:val="7D4C3183"/>
    <w:rsid w:val="7D7609A4"/>
    <w:rsid w:val="7D9314F6"/>
    <w:rsid w:val="7D9C06C0"/>
    <w:rsid w:val="7DA47321"/>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271055"/>
    <w:rsid w:val="7F547198"/>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1295</Words>
  <Characters>6983</Characters>
  <Lines>49</Lines>
  <Paragraphs>13</Paragraphs>
  <TotalTime>12</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2025-08-15T06:40:57Z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AB5838307471480B9F0B116F08ADE976_13</vt:lpwstr>
  </property>
  <property fmtid="{D5CDD505-2E9C-101B-9397-08002B2CF9AE}" pid="4" name="KSOTemplateDocerSaveRecord">
    <vt:lpwstr>eyJoZGlkIjoiMzEwNTM5NzYwMDRjMzkwZTVkZjY2ODkwMGIxNGU0OTUiLCJ1c2VySWQiOiI1MDQ0ODU3MTMifQ==</vt:lpwstr>
  </property>
</Properties>
</file>